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454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454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454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Правительства Республики Хакасия </w:t>
      </w:r>
      <w:r>
        <w:rPr>
          <w:rFonts w:ascii="Times New Roman" w:hAnsi="Times New Roman" w:cs="Times New Roman"/>
          <w:sz w:val="26"/>
          <w:szCs w:val="26"/>
        </w:rPr>
        <w:br/>
        <w:t xml:space="preserve">от 30.06.2020 № 352 «Об утверждении Порядка сопровождения инвестиционных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right="454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проектов в Республике Хакасия»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целях реализации Указа Президента Российской Федерации от 28.11.2024 </w:t>
      </w:r>
      <w:r>
        <w:rPr>
          <w:rFonts w:ascii="Times New Roman" w:hAnsi="Times New Roman" w:cs="Times New Roman"/>
          <w:sz w:val="26"/>
          <w:szCs w:val="26"/>
        </w:rPr>
        <w:br/>
        <w:t xml:space="preserve">№ 1014 «Об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Федерации», в соответствии с Федеральным законом </w:t>
      </w:r>
      <w:r>
        <w:rPr>
          <w:rFonts w:ascii="Times New Roman" w:hAnsi="Times New Roman" w:cs="Times New Roman"/>
          <w:sz w:val="26"/>
          <w:szCs w:val="26"/>
        </w:rPr>
        <w:br/>
        <w:t xml:space="preserve">от 25.02.1999 № 39-ФЗ «Об инвестиционной деятельности в Российской Федерации, осуществляемой в форме капитальных вложений», Законом Республики Хакасия </w:t>
      </w:r>
      <w:r>
        <w:rPr>
          <w:rFonts w:ascii="Times New Roman" w:hAnsi="Times New Roman" w:cs="Times New Roman"/>
          <w:sz w:val="26"/>
          <w:szCs w:val="26"/>
        </w:rPr>
        <w:br/>
        <w:t xml:space="preserve">от 05.12.2019 № 85-ЗРХ «Об инвестиционной политике в Республике Хакасия» Правительство Республики Хакасия ПОСТАНОВЛЯЕТ: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22"/>
        <w:ind w:left="0"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Внести в постановление Правительства Республики Хакасия от 30.06.2020 </w:t>
      </w:r>
      <w:r>
        <w:rPr>
          <w:rFonts w:ascii="Times New Roman" w:hAnsi="Times New Roman" w:cs="Times New Roman"/>
          <w:sz w:val="26"/>
          <w:szCs w:val="26"/>
        </w:rPr>
        <w:br/>
        <w:t xml:space="preserve">№ 352 «Об утверждении Порядка сопровождения инвестиционных проектов в Республике Хакасия» (Официальный интернет-портал правовой информации (www.pravo.gov.ru), 02.07.2020, № 1900202007020001) следующие изменения: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22"/>
        <w:ind w:left="0"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преамбулу изложить в следующей редакции: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22"/>
        <w:ind w:left="0"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«В целях реализации Ука</w:t>
      </w:r>
      <w:r>
        <w:rPr>
          <w:rFonts w:ascii="Times New Roman" w:hAnsi="Times New Roman" w:cs="Times New Roman"/>
          <w:sz w:val="26"/>
          <w:szCs w:val="26"/>
        </w:rPr>
        <w:t xml:space="preserve">за Президента Российской Федерации от 28.11.2024 № 1014 «Об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Федерации», в соответствии с Федеральным законом </w:t>
      </w:r>
      <w:r>
        <w:rPr>
          <w:rFonts w:ascii="Times New Roman" w:hAnsi="Times New Roman" w:cs="Times New Roman"/>
          <w:sz w:val="26"/>
          <w:szCs w:val="26"/>
        </w:rPr>
        <w:br/>
        <w:t xml:space="preserve">от 25.02.1999 № 39-ФЗ «Об инвестиционной деятельности в Российской Федерации, осуществляемой в форме капитальных вложений», Законом Республики Хакасия 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от 05.12.2019 № 85-ЗРХ «Об инвестиционной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политике в Республике Хакасия» Правительство Республики Хакасия ПОСТАНОВЛЯЕТ:»;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22"/>
        <w:ind w:left="0"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приложение изложить в следующей редакции: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right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«Приложение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4678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УТВЕРЖДЕН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4678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 Республики Хакасия «Об утверждении Порядка сопровождения инвестиционных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4678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проектов в Республике Хакасия»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tabs>
          <w:tab w:val="left" w:pos="3402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ПОРЯДОК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tabs>
          <w:tab w:val="left" w:pos="3402" w:leader="none"/>
        </w:tabs>
        <w:rPr>
          <w:rFonts w:ascii="Times New Roman" w:hAnsi="Times New Roman" w:cs="Times New Roman"/>
          <w:vanish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сопровождения инвестиционных проектов в Республике Хакасия </w:t>
      </w:r>
      <w:r>
        <w:rPr>
          <w:rFonts w:ascii="Times New Roman" w:hAnsi="Times New Roman" w:cs="Times New Roman"/>
          <w:vanish/>
          <w:sz w:val="26"/>
          <w:szCs w:val="26"/>
        </w:rPr>
      </w:r>
      <w:r>
        <w:rPr>
          <w:rFonts w:ascii="Times New Roman" w:hAnsi="Times New Roman" w:cs="Times New Roman"/>
          <w:vanish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22"/>
        <w:numPr>
          <w:ilvl w:val="0"/>
          <w:numId w:val="5"/>
        </w:numPr>
        <w:jc w:val="center"/>
        <w:spacing w:after="0" w:line="240" w:lineRule="auto"/>
        <w:widowControl w:val="off"/>
        <w:tabs>
          <w:tab w:val="left" w:pos="3544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Общие положения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22"/>
        <w:ind w:left="0" w:firstLine="709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Настоящий Порядок разработан в соответствии с Федеральным законом от 25.02.1999 № 39-ФЗ «Об инвестиционной деятельности в Российской Федерации, осуществляемой в форме капитальных вложений», Законом Республики Хакасия </w:t>
      </w:r>
      <w:r>
        <w:rPr>
          <w:rFonts w:ascii="Times New Roman" w:hAnsi="Times New Roman" w:cs="Times New Roman"/>
          <w:sz w:val="26"/>
          <w:szCs w:val="26"/>
        </w:rPr>
        <w:br/>
        <w:t xml:space="preserve">от 05.12.2019 № 85-ЗРХ «Об инвестиционной политике в Республике Хакасия».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Настоящий Порядок нап</w:t>
      </w:r>
      <w:r>
        <w:rPr>
          <w:rFonts w:ascii="Times New Roman" w:hAnsi="Times New Roman" w:cs="Times New Roman"/>
          <w:sz w:val="26"/>
          <w:szCs w:val="26"/>
        </w:rPr>
        <w:t xml:space="preserve">равлен на создание благоприятных условий для инвесторов, реализующих и (или) планирующих реализацию инвестиционных проектов на территории Республики Хакасия, и предусматривает механизм сопровождения инвестиционных проектов, реализуемых и (или) планируемых </w:t>
      </w:r>
      <w:r>
        <w:rPr>
          <w:rFonts w:ascii="Times New Roman" w:hAnsi="Times New Roman" w:cs="Times New Roman"/>
          <w:sz w:val="26"/>
          <w:szCs w:val="26"/>
        </w:rPr>
        <w:br/>
        <w:t xml:space="preserve">к реализации на территории Республики Хакасия.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В настоящем Порядке применяются следующие понятия и термины: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22"/>
        <w:numPr>
          <w:ilvl w:val="0"/>
          <w:numId w:val="4"/>
        </w:numPr>
        <w:ind w:left="0"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  <w:t xml:space="preserve">специализированная организация – Агентство инвестиционного развития Фонда развития Республики Хакасия, осуществляющее работу с инвесторами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  <w:br/>
        <w:t xml:space="preserve">в рамках сопровождения инвестиционных проектов;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r>
    </w:p>
    <w:p>
      <w:pPr>
        <w:pStyle w:val="1022"/>
        <w:numPr>
          <w:ilvl w:val="0"/>
          <w:numId w:val="4"/>
        </w:numPr>
        <w:ind w:left="0" w:firstLine="709"/>
        <w:jc w:val="both"/>
        <w:spacing w:after="0" w:line="240" w:lineRule="auto"/>
        <w:widowControl w:val="off"/>
        <w:tabs>
          <w:tab w:val="left" w:pos="993" w:leader="none"/>
        </w:tabs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  <w:t xml:space="preserve">план мероприятий «дорожная карта» по сопровождению инвестиционного проекта – документ, включающий информацию о мероп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  <w:t xml:space="preserve">риятиях по оказанию содействия в реализации инвестиционного проекта инвестора, сроках его реализации, участниках сопровождения инвестиционного проекта, а также ожидаемых результатах, которые должны быть достигнуты в ходе реализации инвестиционного проекта;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r>
    </w:p>
    <w:p>
      <w:pPr>
        <w:pStyle w:val="1022"/>
        <w:numPr>
          <w:ilvl w:val="0"/>
          <w:numId w:val="4"/>
        </w:numPr>
        <w:contextualSpacing w:val="0"/>
        <w:ind w:left="0" w:firstLine="709"/>
        <w:jc w:val="both"/>
        <w:spacing w:after="0" w:line="240" w:lineRule="auto"/>
        <w:widowControl w:val="off"/>
        <w:tabs>
          <w:tab w:val="left" w:pos="993" w:leader="none"/>
          <w:tab w:val="left" w:pos="1134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  <w:t xml:space="preserve">экспертиза инвестиционного проекта – оценка соответствия инвестиционного проекта требованиям раздела 3 настоящего Порядка;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22"/>
        <w:numPr>
          <w:ilvl w:val="0"/>
          <w:numId w:val="4"/>
        </w:numPr>
        <w:contextualSpacing w:val="0"/>
        <w:ind w:left="0" w:firstLine="709"/>
        <w:jc w:val="both"/>
        <w:spacing w:after="0" w:line="240" w:lineRule="auto"/>
        <w:widowControl w:val="off"/>
        <w:tabs>
          <w:tab w:val="left" w:pos="993" w:leader="none"/>
          <w:tab w:val="left" w:pos="1134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  <w:t xml:space="preserve">реестр инвестиционных проектов – систематизированный </w:t>
      </w:r>
      <w:r>
        <w:rPr>
          <w:rFonts w:ascii="Times New Roman" w:hAnsi="Times New Roman" w:cs="Times New Roman"/>
          <w:sz w:val="26"/>
          <w:szCs w:val="26"/>
        </w:rPr>
        <w:t xml:space="preserve">перечень инвестиционных проектов, реализуемых и реализованных на территории Республики Хакасия, сопровождаемых специализированной организацией;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22"/>
        <w:numPr>
          <w:ilvl w:val="0"/>
          <w:numId w:val="4"/>
        </w:numPr>
        <w:contextualSpacing w:val="0"/>
        <w:ind w:left="0" w:firstLine="709"/>
        <w:jc w:val="both"/>
        <w:spacing w:after="0" w:line="240" w:lineRule="auto"/>
        <w:widowControl w:val="off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  <w:t xml:space="preserve">Инвестиционный портал Республики Хакасия – это современная цифровая платформа, предназначенная для упрощения процесса поиска, оценки и реализации инвестиционных проектов в регионе, предоставления инвесторам полного доступа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  <w:br/>
        <w:t xml:space="preserve">к актуальной информации о возможностях для вложений в различные сектора экономики, а также помощи в эффективном взаимодействии с государственными органами;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r>
    </w:p>
    <w:p>
      <w:pPr>
        <w:pStyle w:val="1022"/>
        <w:numPr>
          <w:ilvl w:val="0"/>
          <w:numId w:val="4"/>
        </w:numPr>
        <w:contextualSpacing w:val="0"/>
        <w:ind w:left="0" w:firstLine="709"/>
        <w:jc w:val="both"/>
        <w:spacing w:after="0" w:line="240" w:lineRule="auto"/>
        <w:widowControl w:val="off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  <w:t xml:space="preserve">личный кабинет инвестора – функциональный раздел Инвестиционного портала Республики Хакасия, представляющий собой цифровой сервис для подачи обращений, оперативного обмена документами в режиме реального времени;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r>
    </w:p>
    <w:p>
      <w:pPr>
        <w:pStyle w:val="1022"/>
        <w:numPr>
          <w:ilvl w:val="0"/>
          <w:numId w:val="4"/>
        </w:numPr>
        <w:contextualSpacing w:val="0"/>
        <w:ind w:left="0" w:firstLine="709"/>
        <w:jc w:val="both"/>
        <w:spacing w:after="0" w:line="240" w:lineRule="auto"/>
        <w:widowControl w:val="off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  <w:t xml:space="preserve">инициатива инвестора – письменное обращение, содержащее предварительные сведения о планируемом инвестиционном проекте, направленное в специализированную организацию при личном обращении или посредством почтовой и электронной связи.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r>
    </w:p>
    <w:p>
      <w:pPr>
        <w:pStyle w:val="1023"/>
        <w:ind w:firstLine="709"/>
        <w:jc w:val="both"/>
        <w:tabs>
          <w:tab w:val="left" w:pos="1134" w:leader="none"/>
        </w:tabs>
        <w:rPr>
          <w:rFonts w:eastAsia="Times New Roman"/>
          <w:sz w:val="26"/>
          <w:szCs w:val="26"/>
          <w14:ligatures w14:val="none"/>
        </w:rPr>
      </w:pPr>
      <w:r>
        <w:rPr>
          <w:rFonts w:eastAsia="Times New Roman"/>
          <w:sz w:val="26"/>
          <w:szCs w:val="26"/>
          <w14:ligatures w14:val="none"/>
        </w:rPr>
        <w:t xml:space="preserve">Иные понятия и термины, используемые в настоящем Порядке, применяются в значениях, определенных законодательством Российской Федерации и законодательством Республики Хакасия.</w:t>
      </w:r>
      <w:r>
        <w:rPr>
          <w:rFonts w:eastAsia="Times New Roman"/>
          <w:sz w:val="26"/>
          <w:szCs w:val="26"/>
          <w14:ligatures w14:val="none"/>
        </w:rPr>
      </w:r>
      <w:r>
        <w:rPr>
          <w:rFonts w:eastAsia="Times New Roman"/>
          <w:sz w:val="26"/>
          <w:szCs w:val="26"/>
          <w14:ligatures w14:val="none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24"/>
        <w:numPr>
          <w:ilvl w:val="0"/>
          <w:numId w:val="6"/>
        </w:numPr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  <w:outlineLvl w:val="1"/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Формы и цели сопровождения инвестиционных проектов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1023"/>
        <w:jc w:val="both"/>
      </w:pPr>
      <w:r/>
      <w:r/>
    </w:p>
    <w:p>
      <w:pPr>
        <w:pStyle w:val="1023"/>
        <w:numPr>
          <w:ilvl w:val="1"/>
          <w:numId w:val="6"/>
        </w:numPr>
        <w:ind w:left="0"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Сопровождение инвестиционных проекто</w:t>
      </w:r>
      <w:r>
        <w:rPr>
          <w:sz w:val="26"/>
          <w:szCs w:val="26"/>
        </w:rPr>
        <w:t xml:space="preserve">в осуществляется специализированной организацией на безвозмездной основе в форме консультационного, информационного, а также организационного содействия инвестору, направленного на реализацию инвестиционного проекта и достижение инвестором следующих задач: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получение мер государственной поддержки в соответствии </w:t>
      </w:r>
      <w:r>
        <w:rPr>
          <w:sz w:val="26"/>
          <w:szCs w:val="26"/>
        </w:rPr>
        <w:br/>
        <w:t xml:space="preserve">с законодательством Российской Федерации и законодательством Республики Хакасия;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получение поддержки в реализации инвестиционного проекта со стороны субъектов инфраструктуры поддержки инвестиционной и предпринимательской деятельности в Республике Хакасия;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поиск </w:t>
      </w:r>
      <w:r>
        <w:rPr>
          <w:sz w:val="26"/>
          <w:szCs w:val="26"/>
        </w:rPr>
        <w:t xml:space="preserve">соинвесторов</w:t>
      </w:r>
      <w:r>
        <w:rPr>
          <w:sz w:val="26"/>
          <w:szCs w:val="26"/>
        </w:rPr>
        <w:t xml:space="preserve"> и (или) привлечение частных инвестиций для реализации инвестиционного проекта;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подбор инвестиционной площадки;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своевременное получение согласований и разрешений </w:t>
      </w:r>
      <w:r>
        <w:rPr>
          <w:sz w:val="26"/>
          <w:szCs w:val="26"/>
        </w:rPr>
        <w:br/>
        <w:t xml:space="preserve">от </w:t>
      </w:r>
      <w:r>
        <w:rPr>
          <w:sz w:val="26"/>
          <w:szCs w:val="26"/>
        </w:rPr>
        <w:t xml:space="preserve">ресурсоснабжающих</w:t>
      </w:r>
      <w:r>
        <w:rPr>
          <w:sz w:val="26"/>
          <w:szCs w:val="26"/>
        </w:rPr>
        <w:t xml:space="preserve"> организаций, территориальных органов федеральных органов исполнительной власти, исполнительных органов Республики Хакасия </w:t>
      </w:r>
      <w:r>
        <w:rPr>
          <w:sz w:val="26"/>
          <w:szCs w:val="26"/>
        </w:rPr>
        <w:br/>
        <w:t xml:space="preserve">и органов местного самоуправления муниципальных образований Республики Хакасия (далее – ОМСУ), необходимых для реализации инвестиционного проекта;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рассмотрение инвестиционного проекта, планируемого к реализации и (или) реализуемого на территории Республики Хакасия, на заседаниях президиума Совета развития Республики Хакасия при Главе Республики Хакасия – </w:t>
      </w:r>
      <w:r>
        <w:rPr>
          <w:sz w:val="26"/>
          <w:szCs w:val="26"/>
        </w:rPr>
        <w:t xml:space="preserve">Председателе Правительства Республики Хакасия в соответствии с Порядком подготовки и рассмотрения президиумом Совета развития Республики Хакасия при Главе Республики Хакасия – Председателе Правительства Республики Хакасия инвестиционных проектов, утвержден</w:t>
      </w:r>
      <w:r>
        <w:rPr>
          <w:sz w:val="26"/>
          <w:szCs w:val="26"/>
        </w:rPr>
        <w:t xml:space="preserve">ным постановлением Главы Республики Хакасия – Председателя Правительства Республики Хакасия от 28.05.2012 № 22-ПП, и Рабочей группы по подготовке проектов развития Республики Хакасия, утвержденной постановлением Президиума Правительства Республики Хакасия </w:t>
      </w:r>
      <w:r>
        <w:rPr>
          <w:sz w:val="26"/>
          <w:szCs w:val="26"/>
        </w:rPr>
        <w:br/>
        <w:t xml:space="preserve">от 30.08.2019 № 125-п, в целях решения спорных вопросов и выработки согласованных предложений межведомственного взаимодействия.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Целью сопровождения инвестиционных проектов является оперативное </w:t>
      </w:r>
      <w:r>
        <w:rPr>
          <w:sz w:val="26"/>
          <w:szCs w:val="26"/>
        </w:rPr>
        <w:br/>
        <w:t xml:space="preserve">и комплексное решение вопросов, возникающих при реализации (планировании </w:t>
      </w:r>
      <w:r>
        <w:rPr>
          <w:sz w:val="26"/>
          <w:szCs w:val="26"/>
        </w:rPr>
        <w:br/>
        <w:t xml:space="preserve">к реализации) инвестиционных проектов, унификация процедуры взаимодействия инвесторов с исполнительными органами Республики Хакасия, ОМСУ, </w:t>
      </w:r>
      <w:r>
        <w:rPr>
          <w:sz w:val="26"/>
          <w:szCs w:val="26"/>
        </w:rPr>
        <w:t xml:space="preserve">ресурсоснабжающими</w:t>
      </w:r>
      <w:r>
        <w:rPr>
          <w:sz w:val="26"/>
          <w:szCs w:val="26"/>
        </w:rPr>
        <w:t xml:space="preserve"> организациями и снижение административных барьеров.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Сопровождение инвестиционных проектов не заменяет процедур и порядков, связанных с подготовкой и реализацие</w:t>
      </w:r>
      <w:r>
        <w:rPr>
          <w:sz w:val="26"/>
          <w:szCs w:val="26"/>
        </w:rPr>
        <w:t xml:space="preserve">й инвестиционных проектов в сфере земельных отношений, для получения мер государственной поддержки, получения иных государственных или муниципальных преференций, предусмотренных законодательством Российской Федерации и законодательством Республики Хакасия.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numPr>
          <w:ilvl w:val="1"/>
          <w:numId w:val="5"/>
        </w:numPr>
        <w:ind w:left="0"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рассмотрения инвестиционных проектов с целью их принятия </w:t>
      </w:r>
      <w:r>
        <w:rPr>
          <w:sz w:val="26"/>
          <w:szCs w:val="26"/>
        </w:rPr>
        <w:br/>
        <w:t xml:space="preserve">на сопровождение, снятия с сопровождения при Фонде развития Республики Хакасия (далее – Фонд) создается Экспертный совет (далее – Экспертный совет), положение и состав которого утверждаются приказом Фонда.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left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4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  <w:outlineLvl w:val="1"/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3.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Требования к инвестору и инвестиционным проектам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/>
      <w:bookmarkStart w:id="1" w:name="Par55"/>
      <w:r/>
      <w:bookmarkEnd w:id="1"/>
      <w:r>
        <w:rPr>
          <w:sz w:val="26"/>
          <w:szCs w:val="26"/>
        </w:rPr>
        <w:t xml:space="preserve">3.1. Инвесторы, претендующие на сопровождение инвестиционного проекта, не должны находиться в процессе реорганизации, ликвидации, банкротства, реестре недобросовестных поставщиков (подрядчиков, исполнителей), реестре дисквалифицированных лиц.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/>
      <w:bookmarkStart w:id="2" w:name="Par56"/>
      <w:r/>
      <w:bookmarkEnd w:id="2"/>
      <w:r>
        <w:rPr>
          <w:sz w:val="26"/>
          <w:szCs w:val="26"/>
        </w:rPr>
        <w:t xml:space="preserve">3.2. Инвестиционный проект, планируемый к сопровождению в соответствии с настоящим Порядком, должен предполагать объем планируемых инвестиций </w:t>
      </w:r>
      <w:r>
        <w:rPr>
          <w:sz w:val="26"/>
          <w:szCs w:val="26"/>
        </w:rPr>
        <w:br/>
        <w:t xml:space="preserve">не менее 1,5 млн рублей или менее, если при этом инвестиционный проект соответствует требованиям, установленным пунктом 1 части 1 статьи 2 Закона Республики Хакасия от 05.12.2019 № 85-ЗРХ «Об инвестиционной политике </w:t>
      </w:r>
      <w:r>
        <w:rPr>
          <w:sz w:val="26"/>
          <w:szCs w:val="26"/>
        </w:rPr>
        <w:br/>
        <w:t xml:space="preserve">в Республике Хакасия», а также соответствовать одному из следующих требований: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  <w:t xml:space="preserve">создание нового бизнеса (реализация инвестиционного проекта) вновь созданным юридическим лицом 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  <w:t xml:space="preserve">и (или) зарегистрированным индивидуальным предпринимателем и (или) освоение нового вида деятельности существующим субъектом предпринимательской деятельности для данного юридического лица или индивидуального предпринимателя на территории Республики Хакасия;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  <w:t xml:space="preserve">расширение действующего бизнеса (освоение новых видов продукции (услуг), и (или) увеличение мощности и объема продукции (услуг), и (или) увеличение ассортимента продукции (услуг), либо изменение потребительских свойств товара (услуг);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  <w:t xml:space="preserve">модернизация действующего бизнеса (оснащение новым оборудованием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  <w:t xml:space="preserve">, техникой и (или) увеличение производственных мощностей, либо объема продукции (услуг) и (или) увеличение ассортимента продукции (услуг), и (или) изменение потребительских свойств товара (услуг), и (или) повышение экологической безопасности производства);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  <w:t xml:space="preserve">создание новых рабочих мест и (или) повышение производительности труда.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lang w:eastAsia="ru-RU"/>
        </w:rPr>
      </w:pPr>
      <w:r>
        <w:rPr>
          <w:rFonts w:ascii="Times New Roman" w:hAnsi="Times New Roman" w:cs="Times New Roman" w:eastAsiaTheme="minorEastAsia"/>
          <w:lang w:eastAsia="ru-RU"/>
        </w:rPr>
      </w:r>
      <w:r>
        <w:rPr>
          <w:rFonts w:ascii="Times New Roman" w:hAnsi="Times New Roman" w:cs="Times New Roman" w:eastAsiaTheme="minorEastAsia"/>
          <w:lang w:eastAsia="ru-RU"/>
        </w:rPr>
      </w:r>
      <w:r>
        <w:rPr>
          <w:rFonts w:ascii="Times New Roman" w:hAnsi="Times New Roman" w:cs="Times New Roman" w:eastAsiaTheme="minorEastAsia"/>
          <w:lang w:eastAsia="ru-RU"/>
        </w:rPr>
      </w:r>
    </w:p>
    <w:p>
      <w:pPr>
        <w:pStyle w:val="1024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  <w:outlineLvl w:val="1"/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4. Основания для сопровождения инвестиционного проекта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1023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Основанием для начала взаимодействия с инвестором является направление в специализированную организацию заявки на сопровождение инвестиционного проекта </w:t>
      </w:r>
      <w:bookmarkStart w:id="3" w:name="_Hlk242438012"/>
      <w:r>
        <w:rPr>
          <w:sz w:val="26"/>
          <w:szCs w:val="26"/>
        </w:rPr>
        <w:t xml:space="preserve">по форме согласно приложению 1 к настоящему Порядку </w:t>
      </w:r>
      <w:bookmarkEnd w:id="3"/>
      <w:r>
        <w:rPr>
          <w:sz w:val="26"/>
          <w:szCs w:val="26"/>
        </w:rPr>
        <w:t xml:space="preserve">(далее –</w:t>
      </w:r>
      <w:r>
        <w:t xml:space="preserve"> </w:t>
      </w:r>
      <w:r>
        <w:rPr>
          <w:sz w:val="26"/>
          <w:szCs w:val="26"/>
        </w:rPr>
        <w:t xml:space="preserve">заявка) </w:t>
      </w:r>
      <w:bookmarkStart w:id="4" w:name="_Hlk233205458"/>
      <w:r>
        <w:rPr>
          <w:sz w:val="26"/>
          <w:szCs w:val="26"/>
        </w:rPr>
        <w:t xml:space="preserve">при личном обращении, посредством почтовой или электронной </w:t>
      </w:r>
      <w:r>
        <w:rPr>
          <w:sz w:val="26"/>
          <w:szCs w:val="26"/>
        </w:rPr>
        <w:t xml:space="preserve">связи</w:t>
      </w:r>
      <w:bookmarkEnd w:id="4"/>
      <w:r>
        <w:rPr>
          <w:sz w:val="26"/>
          <w:szCs w:val="26"/>
        </w:rPr>
        <w:t xml:space="preserve"> или через личный кабинет инвестора на Инвестиционном портале Республики Хакасия (https://invest19.ru).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/>
      <w:bookmarkStart w:id="5" w:name="Par65"/>
      <w:r/>
      <w:bookmarkEnd w:id="5"/>
      <w:r>
        <w:rPr>
          <w:sz w:val="26"/>
          <w:szCs w:val="26"/>
        </w:rPr>
        <w:t xml:space="preserve">4.2. К заявке прилагаются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/>
      <w:bookmarkStart w:id="6" w:name="Par80"/>
      <w:r/>
      <w:bookmarkEnd w:id="6"/>
      <w:r>
        <w:rPr>
          <w:sz w:val="26"/>
          <w:szCs w:val="26"/>
        </w:rPr>
        <w:t xml:space="preserve">1) резюме инвестиционного проекта по форме согласно приложению </w:t>
      </w:r>
      <w:r>
        <w:rPr>
          <w:sz w:val="26"/>
          <w:szCs w:val="26"/>
        </w:rPr>
        <w:br/>
        <w:t xml:space="preserve">2 к настоящему Порядку;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согласие на обработку персональных данных для заявителей, зарегистрированных в качестве индивидуального предпринимателя, по форме согласно приложению 3 к настоящему Порядку.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 В случае реализации инвестором двух и более инвестиционных проектов документы, указанные в пункте 4.2 настоящего Порядка, представляются </w:t>
      </w:r>
      <w:r>
        <w:rPr>
          <w:sz w:val="26"/>
          <w:szCs w:val="26"/>
        </w:rPr>
        <w:br/>
        <w:t xml:space="preserve">в отношении каждого инвестиционного проекта отдельно.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4.4. В случае реализации инвестором инвестиционного проекта, предусматривающего строительство (реконструкцию) и ввод в эксплуатацию объектов несколькими очередями (этапами), при необходимости каждая очередь </w:t>
      </w:r>
      <w:r>
        <w:rPr>
          <w:sz w:val="26"/>
          <w:szCs w:val="26"/>
        </w:rPr>
        <w:t xml:space="preserve">(этап) строительства объекта рассматривается как отдельный инвестиционный проект на основании соответствующей заявки инвестора. Документы, указанные </w:t>
      </w:r>
      <w:r>
        <w:rPr>
          <w:sz w:val="26"/>
          <w:szCs w:val="26"/>
        </w:rPr>
        <w:br/>
        <w:t xml:space="preserve">в пункте 4.2 настоящего Порядка, представляются по каждой очереди (этапу) отдельно.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 Инвестор вправе приложить к заявке следующие документы и сведения: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1) выписку из Единого государственного реестра недвижимости об объекте недвижимости в отношении земельного(</w:t>
      </w:r>
      <w:r>
        <w:rPr>
          <w:sz w:val="26"/>
          <w:szCs w:val="26"/>
        </w:rPr>
        <w:t xml:space="preserve">ых</w:t>
      </w:r>
      <w:r>
        <w:rPr>
          <w:sz w:val="26"/>
          <w:szCs w:val="26"/>
        </w:rPr>
        <w:t xml:space="preserve">) участка(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), на территории которого(</w:t>
      </w:r>
      <w:r>
        <w:rPr>
          <w:sz w:val="26"/>
          <w:szCs w:val="26"/>
        </w:rPr>
        <w:t xml:space="preserve">ых</w:t>
      </w:r>
      <w:r>
        <w:rPr>
          <w:sz w:val="26"/>
          <w:szCs w:val="26"/>
        </w:rPr>
        <w:t xml:space="preserve">) реализуется и (или) планируется реализация инвестиционного проекта, по состоянию на дату, предшествующую дате подачи заявки не более чем на 30 дней</w:t>
      </w:r>
      <w:r>
        <w:rPr>
          <w:color w:val="000000" w:themeColor="text1"/>
          <w:sz w:val="26"/>
          <w:szCs w:val="26"/>
        </w:rPr>
        <w:t xml:space="preserve"> до даты направления заявки;</w:t>
      </w:r>
      <w:r>
        <w:rPr>
          <w:color w:val="000000" w:themeColor="text1"/>
          <w:sz w:val="26"/>
          <w:szCs w:val="26"/>
        </w:rPr>
      </w:r>
      <w:r>
        <w:rPr>
          <w:color w:val="000000" w:themeColor="text1"/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копию документа, подтверждающего факт внесения записи</w:t>
      </w:r>
      <w:r>
        <w:t xml:space="preserve"> </w:t>
      </w:r>
      <w:r>
        <w:rPr>
          <w:sz w:val="26"/>
          <w:szCs w:val="26"/>
        </w:rPr>
        <w:t xml:space="preserve">о государственной регистрации инвестора в Едином государственном реестре юридических лиц или Едином государственном реестре индивидуальных предпринимателей;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согласие на раскрытие информации об инвесторе и (или) инвестиционном проекте по форме согласно приложению 4 к настоящему Порядку.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4.6. Формы документов, предусмотренные подпунктами 1 и 2 пункта 4.2 и подпунктом 3 пункта 4.5 настоящего Порядка, размещены на Инвестиционном портале Республики Хакасия (</w:t>
      </w:r>
      <w:hyperlink r:id="rId13" w:tooltip="https://invest19.ru/ru/investoru/soprovozhdenie-investproekta/" w:history="1">
        <w:r>
          <w:rPr>
            <w:rStyle w:val="1035"/>
            <w:color w:val="auto"/>
            <w:sz w:val="26"/>
            <w:szCs w:val="26"/>
            <w:u w:val="none"/>
          </w:rPr>
          <w:t xml:space="preserve">https://invest19.ru/ru/investoru/soprovozhdenie-investproekta/</w:t>
        </w:r>
      </w:hyperlink>
      <w:r>
        <w:rPr>
          <w:sz w:val="26"/>
          <w:szCs w:val="26"/>
        </w:rPr>
        <w:t xml:space="preserve">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4.7. Инвестор несет ответственность за достоверность представляемых им документов и сведений в соответствии с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4"/>
        <w:ind w:firstLine="709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  <w:outlineLvl w:val="1"/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1024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  <w:outlineLvl w:val="1"/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5.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Порядок принятия решения о сопровождении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102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инвестиционного проекта и включении его в реестр инвестиционных проектов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При поступлении заявки инвестора с приложенными документами специализированная организация осуществляет их регистрацию в день поступления и в течение трех рабочих дней со дня регистрации передает в Экспертный совет </w:t>
      </w:r>
      <w:r>
        <w:rPr>
          <w:sz w:val="26"/>
          <w:szCs w:val="26"/>
        </w:rPr>
        <w:br/>
        <w:t xml:space="preserve">на рассмотрение для принятия решения о сопровождении инвестиционного проекта и включении его в реестр инвестиционных проектов или об отказе в сопровождении инвестиционного проекта.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14:ligatures w14:val="none"/>
        </w:rPr>
        <w:t xml:space="preserve">5.2. Экспертный совет в течение семи рабочих дней с даты получения </w:t>
      </w:r>
      <w:r>
        <w:rPr>
          <w:rFonts w:ascii="Times New Roman" w:hAnsi="Times New Roman" w:cs="Times New Roman"/>
          <w:sz w:val="26"/>
          <w:szCs w:val="26"/>
          <w14:ligatures w14:val="none"/>
        </w:rPr>
        <w:br/>
        <w:t xml:space="preserve">от специализированной организации заявки с приложенными документами (при очном заседании) и в течение пяти рабочих дней с даты направления заявки членам Экспертного совета (при заочном за</w:t>
      </w:r>
      <w:r>
        <w:rPr>
          <w:rFonts w:ascii="Times New Roman" w:hAnsi="Times New Roman" w:cs="Times New Roman"/>
          <w:sz w:val="26"/>
          <w:szCs w:val="26"/>
          <w14:ligatures w14:val="none"/>
        </w:rPr>
        <w:t xml:space="preserve">седании) проверяет представленные документы и принимает решение о сопровождении инвестиционного проекта и включении его в реестр инвестиционных проектов или об отказе в сопровождении инвестиционного проекта в соответствии с Положением об Экспертном совете.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14:ligatures w14:val="none"/>
        </w:rPr>
        <w:t xml:space="preserve">Экспертный совет проводит: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14:ligatures w14:val="none"/>
        </w:rPr>
        <w:t xml:space="preserve">1) проверку комплектности представленных документов в соответствии с пунктами 4.1 и 4.2 настоящего Порядка;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14:ligatures w14:val="none"/>
        </w:rPr>
        <w:t xml:space="preserve">2) проверку соблюдения инвестором требований к документам, установленным пунктами 4.1 и 4.2 настоящего Порядка;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14:ligatures w14:val="none"/>
        </w:rPr>
        <w:t xml:space="preserve">3) проверку соответствия инвестора требованиям, установленным пунктом 3.1 настоящего Порядка, которая осуществляется по сведениям, содержащимся </w:t>
      </w:r>
      <w:r>
        <w:rPr>
          <w:rFonts w:ascii="Times New Roman" w:hAnsi="Times New Roman" w:cs="Times New Roman"/>
          <w:sz w:val="26"/>
          <w:szCs w:val="26"/>
          <w14:ligatures w14:val="none"/>
        </w:rPr>
        <w:br/>
        <w:t xml:space="preserve">в Едином государственном реестре индивидуальных предпринимателей </w:t>
      </w:r>
      <w:r>
        <w:rPr>
          <w:rFonts w:ascii="Times New Roman" w:hAnsi="Times New Roman" w:cs="Times New Roman"/>
          <w:sz w:val="26"/>
          <w:szCs w:val="26"/>
          <w14:ligatures w14:val="none"/>
        </w:rPr>
        <w:br/>
        <w:t xml:space="preserve">(для инвесторов, являющихся индивидуальными предпринимателями), Едином </w:t>
      </w:r>
      <w:r>
        <w:rPr>
          <w:rFonts w:ascii="Times New Roman" w:hAnsi="Times New Roman" w:cs="Times New Roman"/>
          <w:sz w:val="26"/>
          <w:szCs w:val="26"/>
          <w14:ligatures w14:val="none"/>
        </w:rPr>
        <w:t xml:space="preserve">государственном реестре юридических лиц (для инвесторов, являющихся юридическими лицами), Едином федеральн</w:t>
      </w:r>
      <w:r>
        <w:rPr>
          <w:rFonts w:ascii="Times New Roman" w:hAnsi="Times New Roman" w:cs="Times New Roman"/>
          <w:sz w:val="26"/>
          <w:szCs w:val="26"/>
          <w14:ligatures w14:val="none"/>
        </w:rPr>
        <w:t xml:space="preserve">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деятельности, реестре недобросовестных поставщиков (подрядчиков, исполнителей) и реестре дисквалифицированных лиц;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14:ligatures w14:val="none"/>
        </w:rPr>
        <w:t xml:space="preserve">4) проверку соответствия инвестиционного проекта требованиям, установленным пунктом 3.2 настоящего Порядка, которая осуществляется </w:t>
      </w:r>
      <w:r>
        <w:rPr>
          <w:rFonts w:ascii="Times New Roman" w:hAnsi="Times New Roman" w:cs="Times New Roman"/>
          <w:sz w:val="26"/>
          <w:szCs w:val="26"/>
          <w14:ligatures w14:val="none"/>
        </w:rPr>
        <w:br/>
        <w:t xml:space="preserve">по сведениям, содержащимся в представленных инвестором документах.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14:ligatures w14:val="none"/>
        </w:rPr>
        <w:t xml:space="preserve">В случае если документы и сведения, указанные в пункте 4.5 настоящего Порядка, не представлены инвестором, Экспертный совет самостоятельно запрашивает и (или) получает их.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5.3.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  <w:t xml:space="preserve">Решение о сопровождении инвестиционного проекта и включении его 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  <w:br/>
        <w:t xml:space="preserve">в реестр инвестиционных проектов или об отказе в сопровождении инвестиционного проекта оформляется в виде протокола заседания Экспертного совета (далее – протокол), который утверждается председателем Экспертного совета в день заседания Экспертного совета.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  <w14:ligatures w14:val="none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14:ligatures w14:val="none"/>
        </w:rPr>
        <w:t xml:space="preserve">5.4. О принятом решении специализированная организация уведомляет инвестора в течение двух рабочих дней со дня утверждения протокола посредством электронной или почтовой связи на адрес инвестора, указанный в его заявке. 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14:ligatures w14:val="none"/>
        </w:rPr>
        <w:t xml:space="preserve">В случае принятия решения об отказе в сопровождении инвестиционного проекта уведомление направляется с указанием причин отказа, установленным в протоколе.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5.5. В случае положительного решения Экспертного совета между специализированной организацией и и</w:t>
      </w:r>
      <w:r>
        <w:rPr>
          <w:rFonts w:ascii="Times New Roman" w:hAnsi="Times New Roman" w:cs="Times New Roman"/>
          <w:sz w:val="26"/>
          <w:szCs w:val="26"/>
        </w:rPr>
        <w:t xml:space="preserve">нвестором заключается соглашение о сопровождении инвестиционного проекта (далее – соглашение) и формируется план-график мероприятий («дорожная карта») реализации инвестиционного проекта по форме, утвержденной Экспертным советом (далее – «дорожная карта»).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Проект соглашения и «дорожная карта» посредством электронной или почтовой связи в течение семи рабочих дней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 дня утверждения протокола направляются специализированной организацией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 </w:t>
      </w:r>
      <w:r>
        <w:rPr>
          <w:rFonts w:ascii="Times New Roman" w:hAnsi="Times New Roman" w:cs="Times New Roman"/>
          <w:sz w:val="26"/>
          <w:szCs w:val="26"/>
        </w:rPr>
        <w:t xml:space="preserve">инвестора, указанному в его заявке, для рассмотрения.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Соглашение с прилагаемой к нему в качестве неотъемлемой его части «дорожной карт</w:t>
      </w:r>
      <w:r>
        <w:rPr>
          <w:rFonts w:ascii="Times New Roman" w:hAnsi="Times New Roman" w:cs="Times New Roman"/>
          <w:sz w:val="26"/>
          <w:szCs w:val="26"/>
        </w:rPr>
        <w:t xml:space="preserve">ы» подлежит заключению в течение 10 рабочих дней с даты направления проекта соглашения и «дорожной карты» по адресу инвестора путем подписания его оригиналов специализированной организацией и инвестором и вступает в силу с момента его подписания сторонами.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5.6. Основаниями для принятия решения об отказе в сопровождении инвестиционного проекта являются: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несоответствие инвестора требованиям, указанным в </w:t>
      </w:r>
      <w:hyperlink w:tooltip="3.1. Инвесторы, претендующие на сопровождение инвестиционного проекта, не должны находиться в стадии ликвидации, банкротства." w:anchor="Par55" w:history="1">
        <w:r>
          <w:rPr>
            <w:sz w:val="26"/>
            <w:szCs w:val="26"/>
          </w:rPr>
          <w:t xml:space="preserve">пункте 3.1</w:t>
        </w:r>
      </w:hyperlink>
      <w:r>
        <w:rPr>
          <w:sz w:val="26"/>
          <w:szCs w:val="26"/>
        </w:rPr>
        <w:t xml:space="preserve"> настоящего Порядка;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несоответствие инвестиционного проекта требованиям, указанным в </w:t>
      </w:r>
      <w:hyperlink w:tooltip="3.2. Требования, предъявляемые к инвестиционному проекту:" w:anchor="Par56" w:history="1">
        <w:r>
          <w:rPr>
            <w:sz w:val="26"/>
            <w:szCs w:val="26"/>
          </w:rPr>
          <w:t xml:space="preserve">пункте 3.2</w:t>
        </w:r>
      </w:hyperlink>
      <w:r>
        <w:rPr>
          <w:sz w:val="26"/>
          <w:szCs w:val="26"/>
        </w:rPr>
        <w:t xml:space="preserve"> настоящего Порядка;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непредставление (представление не в полном объеме) документов, указанных в </w:t>
      </w:r>
      <w:hyperlink w:tooltip="4.2. К заявке прилагаются следующие документы:" w:anchor="Par65" w:history="1">
        <w:r>
          <w:rPr>
            <w:sz w:val="26"/>
            <w:szCs w:val="26"/>
          </w:rPr>
          <w:t xml:space="preserve">пунктах 4.1 и 4.2</w:t>
        </w:r>
      </w:hyperlink>
      <w:r>
        <w:rPr>
          <w:sz w:val="26"/>
          <w:szCs w:val="26"/>
        </w:rPr>
        <w:t xml:space="preserve"> настоящего Порядка;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представленная в заявке и приложенных к ней документах информация является недостоверной.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5.7. Инвестор вправе повторно направить заявку после устранения причин, </w:t>
      </w:r>
      <w:r>
        <w:rPr>
          <w:sz w:val="26"/>
          <w:szCs w:val="26"/>
        </w:rPr>
        <w:t xml:space="preserve">послуживших основанием для принятия решения об отказе в сопровождении инвестиционного проекта.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2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6. Механизм сопровождения инвестиционного проекта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6.1. При сопровождении инвестиционного проекта ответственное лицо специализированной организации, назначенное для сопровождения, осуществляет следующие действия: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сообщает свои контактные данные инвестору в течение двух рабочих дней со дня утверждения протокола;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представляет инвестору информацию, необходимую для реализации инвестиционного проекта</w:t>
      </w:r>
      <w:r>
        <w:t xml:space="preserve"> </w:t>
      </w:r>
      <w:r>
        <w:rPr>
          <w:sz w:val="26"/>
          <w:szCs w:val="26"/>
        </w:rPr>
        <w:t xml:space="preserve">в пределах своей компетенции;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осуществляет содействие по сбору и оформлению документов, необходимых для реализации инвестиционного проекта, а также осуществляет текущее консультирование по запросам инвестора в ходе реализации инвестиционного проекта;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необходимости запрашивает от </w:t>
      </w:r>
      <w:r>
        <w:rPr>
          <w:sz w:val="26"/>
          <w:szCs w:val="26"/>
        </w:rPr>
        <w:t xml:space="preserve">Министерства имущественных и земельных отношений Республики Хакасия и (или) ОМСУ, на территории которого реализуется или планируется к реализации инвестиционный проект, информацию о соответствии (несоответствии) возможного использования земельного участка </w:t>
      </w:r>
      <w:r>
        <w:rPr>
          <w:sz w:val="26"/>
          <w:szCs w:val="26"/>
        </w:rPr>
        <w:br/>
        <w:t xml:space="preserve">с действующими характеристиками в рамках будущего инвестиционного проекта </w:t>
      </w:r>
      <w:r>
        <w:rPr>
          <w:sz w:val="26"/>
          <w:szCs w:val="26"/>
        </w:rPr>
        <w:br/>
        <w:t xml:space="preserve">(с графическими </w:t>
      </w:r>
      <w:r>
        <w:rPr>
          <w:sz w:val="26"/>
          <w:szCs w:val="26"/>
        </w:rPr>
        <w:t xml:space="preserve">выкопировками</w:t>
      </w:r>
      <w:r>
        <w:rPr>
          <w:sz w:val="26"/>
          <w:szCs w:val="26"/>
        </w:rPr>
        <w:t xml:space="preserve"> из документов территориального планирования);</w:t>
      </w:r>
      <w:r>
        <w:t xml:space="preserve"> </w:t>
      </w:r>
      <w:bookmarkStart w:id="7" w:name="_Hlk234934451"/>
      <w:r/>
      <w:bookmarkEnd w:id="7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организует посещение инвестиционных площадок, проведение совещаний и переговоров (с участием территориальных органов федеральных органов государственной власти, исполнительных органов Республики Хакасия, ОМСУ, </w:t>
      </w:r>
      <w:r>
        <w:rPr>
          <w:sz w:val="26"/>
          <w:szCs w:val="26"/>
        </w:rPr>
        <w:t xml:space="preserve">ресурсоснабжающих</w:t>
      </w:r>
      <w:r>
        <w:rPr>
          <w:sz w:val="26"/>
          <w:szCs w:val="26"/>
        </w:rPr>
        <w:t xml:space="preserve"> и иных организаций, потенциальных партнеров)</w:t>
      </w:r>
      <w:r>
        <w:t xml:space="preserve"> </w:t>
      </w:r>
      <w:r>
        <w:rPr>
          <w:sz w:val="26"/>
          <w:szCs w:val="26"/>
        </w:rPr>
        <w:t xml:space="preserve">при необходимости в согласованные с инвестором сроки;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осуществляет мониторинг реализации сопровождаемого инвестиционного проекта в соответствии с разделом 7 настоящего Порядка.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 Ответственное лицо осуществляет в рабочем режиме на постоянной основе взаимодействие с инвестором и представляет ему необходимую информацию в пределах компетенции.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6.3. Содействие в осуществлении взаимодействия с территориальными органами федеральных органов исполнительной власти, исполнительными органами Республики Хакасия и ОМСУ в целях получения со</w:t>
      </w:r>
      <w:r>
        <w:rPr>
          <w:sz w:val="26"/>
          <w:szCs w:val="26"/>
        </w:rPr>
        <w:t xml:space="preserve">гласований, разрешительных документов, необходимых для реализации инвестиционного проекта, осуществляется специализированной организацией в пределах своей компетенции в соответствии с требованиями законодательства Российской Федерации и Республики Хакасия.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 В случае возникновения обстоятельств, требующих внесения изменений в сопровождаемый инвестиционный проект, инвестор направляет в адрес специализированной организации письменное обращение о</w:t>
      </w:r>
      <w:r>
        <w:rPr>
          <w:sz w:val="26"/>
          <w:szCs w:val="26"/>
        </w:rPr>
        <w:t xml:space="preserve"> внесении изменений в утвержденное соглашение в произвольной форме с указанием предлагаемых изменений и обоснований необходимости их внесения (далее – обращение инвестора) на бумажном носителе или в электронном виде на адрес специализированной организации.</w:t>
      </w:r>
      <w: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обращению инвестора прилагаются документы, подтверждающие необходимость внесения изменений в утвержденное соглашение. Указанные документы могут быть представлены в виде копий, заверенных в установленном </w:t>
      </w:r>
      <w:r>
        <w:rPr>
          <w:sz w:val="26"/>
          <w:szCs w:val="26"/>
        </w:rPr>
        <w:t xml:space="preserve">порядке.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Решение о внесении изменений в действующее соглашение или об отказе принимается Экспертным советом.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Обращение инвестора регистрируется специализированной организацией в день его поступления.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течение трех рабочих дней со дня регистрации специализированная организация передает обращение инвестора на рассмотрение в Экспертный совет.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6.5. Экспертный совет в течение семи рабочих дней с даты получения </w:t>
      </w:r>
      <w:r>
        <w:rPr>
          <w:sz w:val="26"/>
          <w:szCs w:val="26"/>
        </w:rPr>
        <w:br/>
        <w:t xml:space="preserve">от специализированной организации обращения инвестора с приложенными документами (при очном заседании) и в течение пяти рабочих дней с даты направления обращения инвестора членам Экспертного совета (при заочном заседании) рассматривае</w:t>
      </w:r>
      <w:r>
        <w:rPr>
          <w:sz w:val="26"/>
          <w:szCs w:val="26"/>
        </w:rPr>
        <w:t xml:space="preserve">т обращение инвестора и принимает решение о внесении изменений в утвержденное оглашение или об отказе во внесении изменений, которое оформляется в виде протокола заседания Экспертного совета и утверждается председателем Экспертного совета в день заседания.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6.6. О принятом решении специализированная организация уведомляет инвестора в течение двух рабочих дней со дня утверждения протокола заседания Экспертного совета посредством электронной или почтовой связи на адрес инвестора, указанный в его обращении.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принятия решения об отказе во внесении изменений в действующее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соглашение уведомление направляется с указанием причин отказа, названным </w:t>
      </w:r>
      <w:r>
        <w:rPr>
          <w:sz w:val="26"/>
          <w:szCs w:val="26"/>
        </w:rPr>
        <w:br/>
        <w:t xml:space="preserve">в протоколе заседания Экспертного совета, с раскрытием фактов, которые </w:t>
      </w:r>
      <w:r>
        <w:rPr>
          <w:sz w:val="26"/>
          <w:szCs w:val="26"/>
        </w:rPr>
        <w:br/>
        <w:t xml:space="preserve">в совокупности составляют одно из оснований для отказа во внесении изменений </w:t>
      </w:r>
      <w:r>
        <w:rPr>
          <w:sz w:val="26"/>
          <w:szCs w:val="26"/>
        </w:rPr>
        <w:br/>
        <w:t xml:space="preserve">в действующее соглашение.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Основаниями для принятия решения об отказе во внесении изменений в действующее соглашение являются: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недостаточное или некорректное обоснование необходимости внесения изменений, представленное инвестором в обращении инвестора;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представленные в обращении инвестора сведения и документы являются недостоверными.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6.7. В случае положительного решения Экспертного совета между специализированной организацией и инвестором заключается дополнительное соглашение. Проект дополнительного соглашения направляется спец</w:t>
      </w:r>
      <w:r>
        <w:rPr>
          <w:sz w:val="26"/>
          <w:szCs w:val="26"/>
        </w:rPr>
        <w:t xml:space="preserve">иализированной организацией в адрес инвестора для рассмотрения в течение пяти рабочих дней со дня утверждения протокола заседания Экспертного совета посредством электронной или почтовой связи на адрес инвестора, указанный в его обращении. Дополнительное со</w:t>
      </w:r>
      <w:r>
        <w:rPr>
          <w:sz w:val="26"/>
          <w:szCs w:val="26"/>
        </w:rPr>
        <w:t xml:space="preserve">глашение подлежит заключению в течение 10 рабочих дней с даты направления проекта дополнительного соглашения в адрес инвестора путем подписания его оригинала специализированной организацией и инвестором и вступает в силу с момента его подписания сторонами.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24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  <w:outlineLvl w:val="1"/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7. Мониторинг реализации инвестиционных проектов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1023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/>
      <w:bookmarkStart w:id="8" w:name="Par121"/>
      <w:r/>
      <w:bookmarkEnd w:id="8"/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7.1. В целях осуществления мониторинга реализации инвестиционных проектов инвестор, в отношении которого при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нято решение о сопровождении инвестиционного проекта, ежеквартально не позднее 10 числа месяца, следующего за отчетным кварталом, направляет в специализированную организацию сведения о ходе реализации инвестиционного проекта по форме согласно приложению 5 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br/>
        <w:t xml:space="preserve">к настоящему Порядку.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color w:val="000000" w:themeColor="text1"/>
          <w:sz w:val="26"/>
          <w:szCs w:val="26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7.2. Специализированная 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организация в срок до 15 числа месяца, следующего за отчетным кварталом, направляет в Министерство экономического развития Республики Хакасия информацию о реализуемых инвестиционных проектах на основании сведений о ходе реализации инвестиционного проекта, </w:t>
      </w:r>
      <w:r>
        <w:rPr>
          <w:rFonts w:ascii="Times New Roman" w:hAnsi="Times New Roman" w:cs="Times New Roman" w:eastAsiaTheme="minorEastAsia"/>
          <w:color w:val="000000" w:themeColor="text1"/>
          <w:sz w:val="26"/>
          <w:szCs w:val="26"/>
          <w:lang w:eastAsia="ru-RU"/>
          <w14:ligatures w14:val="none"/>
        </w:rPr>
        <w:t xml:space="preserve">полученных </w:t>
      </w:r>
      <w:r>
        <w:rPr>
          <w:rFonts w:ascii="Times New Roman" w:hAnsi="Times New Roman" w:cs="Times New Roman" w:eastAsiaTheme="minorEastAsia"/>
          <w:color w:val="000000" w:themeColor="text1"/>
          <w:sz w:val="26"/>
          <w:szCs w:val="26"/>
          <w:lang w:eastAsia="ru-RU"/>
          <w14:ligatures w14:val="none"/>
        </w:rPr>
        <w:br/>
      </w:r>
      <w:r>
        <w:rPr>
          <w:rFonts w:ascii="Times New Roman" w:hAnsi="Times New Roman" w:cs="Times New Roman" w:eastAsiaTheme="minorEastAsia"/>
          <w:color w:val="000000" w:themeColor="text1"/>
          <w:sz w:val="26"/>
          <w:szCs w:val="26"/>
          <w:lang w:eastAsia="ru-RU"/>
          <w14:ligatures w14:val="none"/>
        </w:rPr>
        <w:t xml:space="preserve">в соответствии с </w:t>
      </w:r>
      <w:r>
        <w:rPr>
          <w:rFonts w:ascii="Times New Roman" w:hAnsi="Times New Roman" w:cs="Times New Roman" w:eastAsiaTheme="minorEastAsia"/>
          <w:color w:val="000000" w:themeColor="text1"/>
          <w:sz w:val="26"/>
          <w:szCs w:val="26"/>
          <w:lang w:eastAsia="ru-RU"/>
          <w14:ligatures w14:val="none"/>
        </w:rPr>
        <w:t xml:space="preserve">пункт</w:t>
      </w:r>
      <w:r>
        <w:rPr>
          <w:rFonts w:ascii="Times New Roman" w:hAnsi="Times New Roman" w:cs="Times New Roman" w:eastAsiaTheme="minorEastAsia"/>
          <w:color w:val="000000" w:themeColor="text1"/>
          <w:sz w:val="26"/>
          <w:szCs w:val="26"/>
          <w:lang w:eastAsia="ru-RU"/>
          <w14:ligatures w14:val="none"/>
        </w:rPr>
        <w:t xml:space="preserve">ом</w:t>
      </w:r>
      <w:r>
        <w:rPr>
          <w:rFonts w:ascii="Times New Roman" w:hAnsi="Times New Roman" w:cs="Times New Roman" w:eastAsiaTheme="minorEastAsia"/>
          <w:color w:val="000000" w:themeColor="text1"/>
          <w:sz w:val="26"/>
          <w:szCs w:val="26"/>
          <w:lang w:eastAsia="ru-RU"/>
          <w14:ligatures w14:val="none"/>
        </w:rPr>
        <w:t xml:space="preserve"> 7.1 настоящего Порядка.</w:t>
      </w:r>
      <w:r>
        <w:rPr>
          <w:rFonts w:ascii="Times New Roman" w:hAnsi="Times New Roman" w:cs="Times New Roman" w:eastAsiaTheme="minorEastAsia"/>
          <w:color w:val="000000" w:themeColor="text1"/>
          <w:sz w:val="26"/>
          <w:szCs w:val="26"/>
          <w14:ligatures w14:val="none"/>
        </w:rPr>
      </w:r>
      <w:r>
        <w:rPr>
          <w:rFonts w:ascii="Times New Roman" w:hAnsi="Times New Roman" w:cs="Times New Roman" w:eastAsiaTheme="minorEastAsia"/>
          <w:color w:val="000000" w:themeColor="text1"/>
          <w:sz w:val="26"/>
          <w:szCs w:val="26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7.3. Специализированная организация вправе: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запрашивать у инвестора документы, подтверждающие информацию о ходе реализации инвестиционного проекта (первичные документы бухгалтерской отчетности, копии платежных документов, товарных накладных, акта ввода 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br/>
        <w:t xml:space="preserve">в эксплуатацию и </w:t>
      </w:r>
      <w:r>
        <w:rPr>
          <w:rFonts w:ascii="Times New Roman" w:hAnsi="Times New Roman" w:cs="Times New Roman" w:eastAsiaTheme="minorEastAsia"/>
          <w:color w:val="000000" w:themeColor="text1"/>
          <w:sz w:val="26"/>
          <w:szCs w:val="26"/>
          <w:lang w:eastAsia="ru-RU"/>
          <w14:ligatures w14:val="none"/>
        </w:rPr>
        <w:t xml:space="preserve">другое</w:t>
      </w:r>
      <w:r>
        <w:rPr>
          <w:rFonts w:ascii="Times New Roman" w:hAnsi="Times New Roman" w:cs="Times New Roman" w:eastAsiaTheme="minorEastAsia"/>
          <w:color w:val="000000" w:themeColor="text1"/>
          <w:sz w:val="26"/>
          <w:szCs w:val="26"/>
          <w:lang w:eastAsia="ru-RU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заверенные инвестором в установленном законодательством порядке);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проводить выездные мероприятия с целью мониторинга хода реализации инвестиционного проекта в согласованные с инвестором даты и время;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производить фото/видео фиксацию на территории реализации инвестиционного проекта по согласованию с инвестором.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7.4. Ответственность за своевременное представление, достоверность и полноту сведений о ходе реализации инвестиционного проекта, указанных в пункте 7.1 настоящего Порядка, несет инвестор.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7.5. Инвестор обязан в течение 10 рабочих дней со дня вступления в законную силу решения суда о признании инвестора банкротом либо о ликвидации инвестора в качестве юридического лица, или со дня принятия индивидуальным предпринимателем решения о прекращ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ении деятельности в качестве индивидуального предпринимателя или учредителями (участниками) либо органом юридического лица, уполномоченным на то учредительными документами, решения о ликвидации сообщить об указанных фактах в специализированную организацию.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0"/>
          <w:szCs w:val="20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0"/>
          <w:szCs w:val="20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0"/>
          <w:szCs w:val="20"/>
          <w:lang w:eastAsia="ru-RU"/>
          <w14:ligatures w14:val="none"/>
        </w:rPr>
      </w:r>
    </w:p>
    <w:p>
      <w:pPr>
        <w:pStyle w:val="1024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  <w:outlineLvl w:val="1"/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8. Завершение сопровождения инвестиционного проекта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1023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8.1. Основаниями для прекращения сопровождения инвестиционного проекта являются: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поступление соответствующего обращения инвестора о завершении сопровождения инвестиционного проекта, в том числе</w:t>
      </w:r>
      <w:r>
        <w:t xml:space="preserve"> </w:t>
      </w:r>
      <w:r>
        <w:rPr>
          <w:sz w:val="26"/>
          <w:szCs w:val="26"/>
        </w:rPr>
        <w:t xml:space="preserve">в связи с достижением цели инвестиционного проекта;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выполнение всех мероприятий, предусмотренных планом мероприятий «дорожной картой» по сопровождению инвестиционного проекта;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ввод в эксплуатацию объекта(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), планируемого(</w:t>
      </w:r>
      <w:r>
        <w:rPr>
          <w:sz w:val="26"/>
          <w:szCs w:val="26"/>
        </w:rPr>
        <w:t xml:space="preserve">мых</w:t>
      </w:r>
      <w:r>
        <w:rPr>
          <w:sz w:val="26"/>
          <w:szCs w:val="26"/>
        </w:rPr>
        <w:t xml:space="preserve">) к строительству (созданию) в рамках реализации инвестиционного проекта;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введение в отношении инвестора, являющегося юридическим лицом, процедуры банкротства, приостановления его деятельности в порядке, предусмотренном законодательством Российской Федерации;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прекращение деятельности инвестора, являющегося индивидуальным предпринимателем, в качестве индивидуального предпринимателя;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нахождение инвестора, являющегося юридическим лицом, в процессе ликвидации;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поступление в специализированную организацию сведений о том, что инвестор при реализации инвестиционного проекта намеревается осуществлять либо осуществляет деятельность, противоречащую законодательству Российской Федерации и Республики Хакасия;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неоднократное (два и более раза) непредставление инвестором сведений </w:t>
      </w:r>
      <w:r>
        <w:rPr>
          <w:sz w:val="26"/>
          <w:szCs w:val="26"/>
        </w:rPr>
        <w:br/>
      </w:r>
      <w:r>
        <w:rPr>
          <w:sz w:val="26"/>
          <w:szCs w:val="26"/>
        </w:rPr>
        <w:t xml:space="preserve">о ходе реализации инвестиционного проекта, указанных в </w:t>
      </w:r>
      <w:hyperlink w:tooltip="7.1. В целях осуществления мониторинга реализации инвестиционных проектов инвестор, в отношение которого принято решение о сопровождении инвестиционного проекта, ежеквартально не позднее 15 числа месяца, следующего за отчетным кварталом, направляет в Специализ" w:anchor="Par121" w:history="1">
        <w:r>
          <w:rPr>
            <w:sz w:val="26"/>
            <w:szCs w:val="26"/>
          </w:rPr>
          <w:t xml:space="preserve">пункте </w:t>
        </w:r>
      </w:hyperlink>
      <w:r>
        <w:t xml:space="preserve">7.1</w:t>
      </w:r>
      <w:r>
        <w:rPr>
          <w:sz w:val="26"/>
          <w:szCs w:val="26"/>
        </w:rPr>
        <w:t xml:space="preserve"> настоящего Порядка, в установленные сроки;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выявление в ходе сопровождения инвестиционного проекта фактов приостановления реализации инвестиционного проекта инвестором и (или) </w:t>
      </w:r>
      <w:r>
        <w:rPr>
          <w:sz w:val="26"/>
          <w:szCs w:val="26"/>
        </w:rPr>
        <w:t xml:space="preserve">недостижения</w:t>
      </w:r>
      <w:r>
        <w:rPr>
          <w:sz w:val="26"/>
          <w:szCs w:val="26"/>
        </w:rPr>
        <w:t xml:space="preserve"> цели его реализации в установленные сроки в соответствии с планом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мероприятий «дорожной картой» по сопровождению инвестиционного проекта;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выявление в ходе сопровождения реализации инвестиционного проекта невозможности внесения изменений в документы территориального планирования </w:t>
      </w:r>
      <w:r>
        <w:rPr>
          <w:sz w:val="26"/>
          <w:szCs w:val="26"/>
        </w:rPr>
        <w:br/>
        <w:t xml:space="preserve">с учетом целей использования земельного участка, на котором реализуется и (или) планируется реализация инвестиционного проекта;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выявление в ходе сопровождения реализац</w:t>
      </w:r>
      <w:r>
        <w:rPr>
          <w:sz w:val="26"/>
          <w:szCs w:val="26"/>
        </w:rPr>
        <w:t xml:space="preserve">ии инвестиционного проекта невозможности обеспечения инвестиционного проекта требуемым объемом ресурсов в сфере электро-, тепло-, водоснабжения и водоотведения в течение срока реализации инвестиционного проекта, указанного в резюме инвестиционного проекта;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неподписание</w:t>
      </w:r>
      <w:r>
        <w:rPr>
          <w:sz w:val="26"/>
          <w:szCs w:val="26"/>
        </w:rPr>
        <w:t xml:space="preserve"> инвестором соглашения в течение 10 рабочих дней со дня его направления специализированной организацией в адрес инвестора;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отсутствие начала мероприятий по реализации инвестиционного проекта, указанного в соглашении, в течение шести месяцев со дня заключения соглашения, в том числе вложения инвестиций.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8.2. Решение о прекращении сопровождения инвестиционного проекта принимается на заседании Экспертного совета и оформляется в виде протокола, который утверждается председателем Экспертного совета.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8.3. О принятом решении специализированная организация уведомляет инвестора с указанием оснований для прекращения сопровождения в течение </w:t>
      </w:r>
      <w:r>
        <w:rPr>
          <w:sz w:val="26"/>
          <w:szCs w:val="26"/>
        </w:rPr>
        <w:br/>
        <w:t xml:space="preserve">двух рабочих дней со дня принятия такого решения посредством электронной связи на адрес инвестора, указанный в его заявке.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9. Организация взаимодействия специализированной организации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 </w:t>
      </w:r>
      <w:bookmarkStart w:id="16" w:name="_Hlk235198939"/>
      <w:r>
        <w:rPr>
          <w:sz w:val="26"/>
          <w:szCs w:val="26"/>
        </w:rPr>
        <w:t xml:space="preserve">исполнительными органами Республики Хакасия и </w:t>
      </w:r>
      <w:bookmarkEnd w:id="16"/>
      <w:r>
        <w:rPr>
          <w:sz w:val="26"/>
          <w:szCs w:val="26"/>
        </w:rPr>
        <w:t xml:space="preserve">ОМСУ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firstLine="709"/>
        <w:jc w:val="both"/>
        <w:rPr>
          <w:rFonts w:eastAsia="Times New Roman"/>
          <w:sz w:val="26"/>
          <w:szCs w:val="26"/>
          <w14:ligatures w14:val="none"/>
        </w:rPr>
      </w:pPr>
      <w:r>
        <w:rPr>
          <w:rFonts w:eastAsia="Times New Roman"/>
          <w:sz w:val="26"/>
          <w:szCs w:val="26"/>
          <w14:ligatures w14:val="none"/>
        </w:rPr>
        <w:t xml:space="preserve">9.1. В рамках сопровождения инвестиционных проектов специализированная организация</w:t>
      </w:r>
      <w:r>
        <w:rPr>
          <w:rFonts w:eastAsia="Times New Roman"/>
          <w:sz w:val="26"/>
          <w:szCs w:val="26"/>
          <w14:ligatures w14:val="none"/>
        </w:rPr>
        <w:t xml:space="preserve"> взаимодействует с исполнительными органами Республики Хакасия и ОМСУ, в том числе путем заключения соглашения о взаимодействии при сопровождении инвестиционного проекта с исполнительными органами Республики Хакасия и ОМСУ с определением ответственных лиц.</w:t>
      </w:r>
      <w:r>
        <w:rPr>
          <w:rFonts w:eastAsia="Times New Roman"/>
          <w:sz w:val="26"/>
          <w:szCs w:val="26"/>
          <w14:ligatures w14:val="none"/>
        </w:rPr>
      </w:r>
      <w:r>
        <w:rPr>
          <w:rFonts w:eastAsia="Times New Roman"/>
          <w:sz w:val="26"/>
          <w:szCs w:val="26"/>
          <w14:ligatures w14:val="none"/>
        </w:rPr>
      </w:r>
    </w:p>
    <w:p>
      <w:pPr>
        <w:pStyle w:val="1023"/>
        <w:ind w:firstLine="709"/>
        <w:jc w:val="both"/>
        <w:rPr>
          <w:rFonts w:eastAsia="Times New Roman"/>
          <w:sz w:val="26"/>
          <w:szCs w:val="26"/>
          <w14:ligatures w14:val="none"/>
        </w:rPr>
      </w:pPr>
      <w:r>
        <w:rPr>
          <w:rFonts w:eastAsia="Times New Roman"/>
          <w:sz w:val="26"/>
          <w:szCs w:val="26"/>
          <w14:ligatures w14:val="none"/>
        </w:rPr>
        <w:t xml:space="preserve">9.2. Исполнительные органы Республики Хакасия и ОМСУ в рамках своей компетенции оказывают содействие специализированной организации в решении вопросов, касающихся реализации инвестиционных проектов, которые находятся </w:t>
      </w:r>
      <w:r>
        <w:rPr>
          <w:rFonts w:eastAsia="Times New Roman"/>
          <w:sz w:val="26"/>
          <w:szCs w:val="26"/>
          <w14:ligatures w14:val="none"/>
        </w:rPr>
        <w:br/>
        <w:t xml:space="preserve">на сопровождении, в том числе в рамках соглашений с исполнительными органами Республики Хакасия и ОМСУ.</w:t>
      </w:r>
      <w:r>
        <w:rPr>
          <w:rFonts w:eastAsia="Times New Roman"/>
          <w:sz w:val="26"/>
          <w:szCs w:val="26"/>
          <w14:ligatures w14:val="none"/>
        </w:rPr>
      </w:r>
      <w:r>
        <w:rPr>
          <w:rFonts w:eastAsia="Times New Roman"/>
          <w:sz w:val="26"/>
          <w:szCs w:val="26"/>
          <w14:ligatures w14:val="none"/>
        </w:rPr>
      </w:r>
    </w:p>
    <w:p>
      <w:pPr>
        <w:pStyle w:val="1023"/>
        <w:ind w:firstLine="709"/>
        <w:jc w:val="both"/>
        <w:rPr>
          <w:rFonts w:eastAsia="Times New Roman"/>
          <w:sz w:val="26"/>
          <w:szCs w:val="26"/>
          <w14:ligatures w14:val="none"/>
        </w:rPr>
      </w:pPr>
      <w:r>
        <w:rPr>
          <w:rFonts w:eastAsia="Times New Roman"/>
          <w:sz w:val="26"/>
          <w:szCs w:val="26"/>
          <w14:ligatures w14:val="none"/>
        </w:rPr>
        <w:t xml:space="preserve">9.3. В случае направления специализированной организацией письменного обращения (запроса) в и</w:t>
      </w:r>
      <w:r>
        <w:rPr>
          <w:rFonts w:eastAsia="Times New Roman"/>
          <w:sz w:val="26"/>
          <w:szCs w:val="26"/>
          <w14:ligatures w14:val="none"/>
        </w:rPr>
        <w:t xml:space="preserve">сполнительные органы Республики Хакасия и (или) ОМСУ по вопросам, касающимся реализации инвестиционного проекта, исполнительные органы Республики Хакасия, ОМСУ в течение пяти рабочих дней направляют соответствующие разъяснения в пределах своей компетенции.</w:t>
      </w:r>
      <w:r>
        <w:rPr>
          <w:rFonts w:eastAsia="Times New Roman"/>
          <w:sz w:val="26"/>
          <w:szCs w:val="26"/>
          <w14:ligatures w14:val="none"/>
        </w:rPr>
      </w:r>
      <w:r>
        <w:rPr>
          <w:rFonts w:eastAsia="Times New Roman"/>
          <w:sz w:val="26"/>
          <w:szCs w:val="26"/>
          <w14:ligatures w14:val="none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color w:val="444444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444444"/>
          <w14:ligatures w14:val="none"/>
        </w:rPr>
        <w:br w:type="page" w:clear="all"/>
      </w:r>
      <w:r>
        <w:rPr>
          <w:rFonts w:ascii="Times New Roman" w:hAnsi="Times New Roman" w:eastAsia="Times New Roman" w:cs="Times New Roman"/>
          <w:color w:val="444444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444444"/>
          <w:sz w:val="24"/>
          <w:szCs w:val="24"/>
          <w:lang w:eastAsia="ru-RU"/>
          <w14:ligatures w14:val="none"/>
        </w:rPr>
      </w:r>
    </w:p>
    <w:p>
      <w:pPr>
        <w:pStyle w:val="1023"/>
        <w:ind w:left="5103"/>
        <w:rPr>
          <w:sz w:val="26"/>
          <w:szCs w:val="26"/>
        </w:rPr>
        <w:outlineLvl w:val="1"/>
      </w:pPr>
      <w:r/>
      <w:bookmarkStart w:id="17" w:name="_Hlk242436565"/>
      <w:r>
        <w:rPr>
          <w:sz w:val="26"/>
          <w:szCs w:val="26"/>
        </w:rPr>
        <w:t xml:space="preserve">Приложение 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к Порядку сопровождения инвестиционных проектов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в Республике Хакасия</w:t>
      </w:r>
      <w:bookmarkEnd w:id="17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000000"/>
          <w:sz w:val="26"/>
          <w:szCs w:val="26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eastAsia="ru-RU"/>
          <w14:ligatures w14:val="none"/>
        </w:rPr>
        <w:t xml:space="preserve">Заявка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000000"/>
          <w:sz w:val="26"/>
          <w:szCs w:val="26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eastAsia="ru-RU"/>
          <w14:ligatures w14:val="none"/>
        </w:rPr>
        <w:t xml:space="preserve">на сопровождение инвестиционного проекта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  <w:t xml:space="preserve">регистрационный №________ от «_______» ______________20____года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iCs/>
          <w:color w:val="00000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lang w:eastAsia="ru-RU"/>
          <w14:ligatures w14:val="none"/>
        </w:rPr>
        <w:t xml:space="preserve">                             (заполняется Фондом развития Республики Хакасия)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  <w:lang w:eastAsia="ru-RU"/>
          <w14:ligatures w14:val="none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  <w:t xml:space="preserve">Прошу рассмотреть заявку на заседании Экспертного совета при Фонде развития Республики Хакасия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14:ligatures w14:val="none"/>
        </w:rPr>
      </w:r>
    </w:p>
    <w:p>
      <w:pPr>
        <w:ind w:firstLine="567"/>
        <w:spacing w:before="0" w:beforeAutospacing="0" w:after="0" w:afterAutospacing="0" w:line="240" w:lineRule="auto"/>
        <w:rPr>
          <w:rFonts w:ascii="PT Astra Serif" w:hAnsi="PT Astra Serif" w:cs="PT Astra Serif"/>
          <w:b w:val="0"/>
          <w:bCs w:val="0"/>
          <w:color w:val="000000"/>
          <w:sz w:val="24"/>
          <w:szCs w:val="24"/>
          <w14:ligatures w14:val="none"/>
        </w:rPr>
      </w:pPr>
      <w:r>
        <w:rPr>
          <w:rFonts w:ascii="PT Astra Serif" w:hAnsi="PT Astra Serif" w:eastAsia="PT Astra Serif" w:cs="PT Astra Serif"/>
          <w:b w:val="0"/>
          <w:bCs w:val="0"/>
          <w:color w:val="000000"/>
          <w:sz w:val="24"/>
          <w:szCs w:val="24"/>
          <w:lang w:eastAsia="ru-RU"/>
          <w14:ligatures w14:val="none"/>
        </w:rPr>
      </w:r>
      <w:r>
        <w:rPr>
          <w:rFonts w:ascii="PT Astra Serif" w:hAnsi="PT Astra Serif" w:cs="PT Astra Serif"/>
          <w:b w:val="0"/>
          <w:bCs w:val="0"/>
          <w:color w:val="000000"/>
          <w:sz w:val="24"/>
          <w:szCs w:val="24"/>
          <w14:ligatures w14:val="none"/>
        </w:rPr>
      </w:r>
      <w:r>
        <w:rPr>
          <w:rFonts w:ascii="PT Astra Serif" w:hAnsi="PT Astra Serif" w:cs="PT Astra Serif"/>
          <w:b w:val="0"/>
          <w:bCs w:val="0"/>
          <w:color w:val="000000"/>
          <w:sz w:val="24"/>
          <w:szCs w:val="24"/>
          <w14:ligatures w14:val="none"/>
        </w:rPr>
      </w:r>
    </w:p>
    <w:tbl>
      <w:tblPr>
        <w:tblW w:w="5000" w:type="pct"/>
        <w:tblCellSpacing w:w="0" w:type="dxa"/>
        <w:tblCellMar>
          <w:left w:w="60" w:type="dxa"/>
          <w:top w:w="60" w:type="dxa"/>
          <w:right w:w="60" w:type="dxa"/>
          <w:bottom w:w="60" w:type="dxa"/>
        </w:tblCellMar>
        <w:tblLook w:val="04A0" w:firstRow="1" w:lastRow="0" w:firstColumn="1" w:lastColumn="0" w:noHBand="0" w:noVBand="1"/>
      </w:tblPr>
      <w:tblGrid>
        <w:gridCol w:w="3431"/>
        <w:gridCol w:w="5088"/>
        <w:gridCol w:w="824"/>
      </w:tblGrid>
      <w:tr>
        <w:tblPrEx/>
        <w:trPr>
          <w:tblCellSpacing w:w="0" w:type="dxa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57" w:type="dxa"/>
              <w:right w:w="57" w:type="dxa"/>
              <w:bottom w:w="57" w:type="dxa"/>
            </w:tcMar>
            <w:tcW w:w="5000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1. Информация об инвесторе</w:t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57" w:type="dxa"/>
              <w:top w:w="0" w:type="dxa"/>
              <w:right w:w="0" w:type="dxa"/>
              <w:bottom w:w="57" w:type="dxa"/>
            </w:tcMar>
            <w:tcW w:w="1836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1.1. 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Полное наименование организации/индивидуального предпринимателя, ИНН</w:t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57" w:type="dxa"/>
            </w:tcMar>
            <w:tcW w:w="3164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Организационно-правовая форма, полное наименование организации; идентификационный номер налогоплательщика</w:t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57" w:type="dxa"/>
              <w:top w:w="0" w:type="dxa"/>
              <w:right w:w="0" w:type="dxa"/>
              <w:bottom w:w="57" w:type="dxa"/>
            </w:tcMar>
            <w:tcW w:w="1836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1.2. Контактные данные: ФИО, телефон, электронная почта</w:t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57" w:type="dxa"/>
            </w:tcMar>
            <w:tcW w:w="3164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blCellSpacing w:w="0" w:type="dxa"/>
        </w:trPr>
        <w:tc>
          <w:tcPr>
            <w:gridSpan w:val="3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57" w:type="dxa"/>
            </w:tcMar>
            <w:tcW w:w="5000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2. Цель инвестиционного проекта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 (поставить знак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val="en-US" w:eastAsia="ru-RU"/>
                <w14:ligatures w14:val="none"/>
              </w:rPr>
              <w:t xml:space="preserve">V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)</w:t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blCellSpacing w:w="0" w:type="dxa"/>
          <w:trHeight w:val="250"/>
        </w:trPr>
        <w:tc>
          <w:tcPr>
            <w:gridSpan w:val="2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57" w:type="dxa"/>
              <w:top w:w="0" w:type="dxa"/>
              <w:right w:w="0" w:type="dxa"/>
              <w:bottom w:w="57" w:type="dxa"/>
            </w:tcMar>
            <w:tcW w:w="4559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Создание нового бизнеса</w:t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57" w:type="dxa"/>
            </w:tcMar>
            <w:tcW w:w="441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blCellSpacing w:w="0" w:type="dxa"/>
        </w:trPr>
        <w:tc>
          <w:tcPr>
            <w:gridSpan w:val="2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57" w:type="dxa"/>
              <w:top w:w="0" w:type="dxa"/>
              <w:right w:w="0" w:type="dxa"/>
              <w:bottom w:w="57" w:type="dxa"/>
            </w:tcMar>
            <w:tcW w:w="4559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Расширение действующего бизнеса</w:t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57" w:type="dxa"/>
            </w:tcMar>
            <w:tcW w:w="441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blCellSpacing w:w="0" w:type="dxa"/>
        </w:trPr>
        <w:tc>
          <w:tcPr>
            <w:gridSpan w:val="2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57" w:type="dxa"/>
              <w:top w:w="0" w:type="dxa"/>
              <w:right w:w="0" w:type="dxa"/>
              <w:bottom w:w="57" w:type="dxa"/>
            </w:tcMar>
            <w:tcW w:w="4559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Модернизация действующего бизнеса</w:t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57" w:type="dxa"/>
            </w:tcMar>
            <w:tcW w:w="441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57" w:type="dxa"/>
              <w:top w:w="0" w:type="dxa"/>
              <w:right w:w="0" w:type="dxa"/>
              <w:bottom w:w="57" w:type="dxa"/>
            </w:tcMar>
            <w:tcW w:w="1836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3. Наименование проекта</w:t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57" w:type="dxa"/>
            </w:tcMar>
            <w:tcW w:w="3164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blCellSpacing w:w="0" w:type="dxa"/>
        </w:trPr>
        <w:tc>
          <w:tcPr>
            <w:gridSpan w:val="3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57" w:type="dxa"/>
            </w:tcMar>
            <w:tcW w:w="5000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color w:val="000000"/>
                <w:sz w:val="24"/>
                <w:szCs w:val="24"/>
                <w:lang w:eastAsia="ru-RU"/>
                <w14:ligatures w14:val="none"/>
              </w:rPr>
              <w:t xml:space="preserve">4. Информация о необходимом содействии в реализации проекта:</w:t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blCellSpacing w:w="0" w:type="dxa"/>
        </w:trPr>
        <w:tc>
          <w:tcPr>
            <w:gridSpan w:val="2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57" w:type="dxa"/>
              <w:top w:w="0" w:type="dxa"/>
              <w:right w:w="0" w:type="dxa"/>
              <w:bottom w:w="57" w:type="dxa"/>
            </w:tcMar>
            <w:tcW w:w="4559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eastAsia="ru-RU"/>
                <w14:ligatures w14:val="none"/>
              </w:rPr>
              <w:t xml:space="preserve">Включить в реестр инвестиционных проектов и принять на сопровождение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57" w:type="dxa"/>
            </w:tcMar>
            <w:tcW w:w="441" w:type="pc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14:ligatures w14:val="none"/>
              </w:rPr>
            </w:r>
          </w:p>
        </w:tc>
      </w:tr>
    </w:tbl>
    <w:p>
      <w:pPr>
        <w:ind w:left="-567" w:firstLine="142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pPr>
      <w:r>
        <w:rPr>
          <w:rFonts w:ascii="PT Astra Serif" w:hAnsi="PT Astra Serif" w:eastAsia="PT Astra Serif" w:cs="PT Astra Serif"/>
          <w:color w:val="000000"/>
          <w:sz w:val="24"/>
          <w:szCs w:val="24"/>
          <w:lang w:eastAsia="ru-RU"/>
          <w14:ligatures w14:val="none"/>
        </w:rPr>
      </w:r>
      <w:r>
        <w:rPr>
          <w:rFonts w:ascii="PT Astra Serif" w:hAnsi="PT Astra Serif" w:cs="PT Astra Serif"/>
          <w:color w:val="000000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</w:p>
    <w:p>
      <w:pPr>
        <w:ind w:left="-567" w:firstLine="142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  <w14:ligatures w14:val="none"/>
        </w:rPr>
      </w:r>
    </w:p>
    <w:tbl>
      <w:tblPr>
        <w:tblW w:w="9639" w:type="dxa"/>
        <w:tblCellSpacing w:w="0" w:type="dxa"/>
        <w:tblCellMar>
          <w:left w:w="60" w:type="dxa"/>
          <w:top w:w="60" w:type="dxa"/>
          <w:right w:w="60" w:type="dxa"/>
          <w:bottom w:w="60" w:type="dxa"/>
        </w:tblCellMar>
        <w:tblLook w:val="04A0" w:firstRow="1" w:lastRow="0" w:firstColumn="1" w:lastColumn="0" w:noHBand="0" w:noVBand="1"/>
      </w:tblPr>
      <w:tblGrid>
        <w:gridCol w:w="2694"/>
        <w:gridCol w:w="4252"/>
        <w:gridCol w:w="2693"/>
      </w:tblGrid>
      <w:tr>
        <w:tblPrEx/>
        <w:trPr>
          <w:tblCellSpacing w:w="0" w:type="dxa"/>
          <w:trHeight w:val="33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  <w:t xml:space="preserve">Руководитель: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  <w:t xml:space="preserve">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  <w:t xml:space="preserve">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blCellSpacing w:w="0" w:type="dxa"/>
          <w:trHeight w:val="5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  <w:t xml:space="preserve">(должность)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  <w:t xml:space="preserve">(подпись, печать)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  <w:t xml:space="preserve">(при наличии печати)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  <w:t xml:space="preserve">(Ф. И. О.)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blCellSpacing w:w="0" w:type="dxa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3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  <w:t xml:space="preserve">«_____» __________________20____ г.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  <w:t xml:space="preserve">Дата подачи заявки</w:t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eastAsia="ru-RU"/>
                <w14:ligatures w14:val="none"/>
              </w:rPr>
            </w:r>
          </w:p>
        </w:tc>
      </w:tr>
    </w:tbl>
    <w:p>
      <w:pPr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  <w:outlineLvl w:val="1"/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  <w:br w:type="page" w:clear="all"/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</w:p>
    <w:p>
      <w:pPr>
        <w:ind w:left="5529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outlineLvl w:val="1"/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Приложение 2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left="5529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к Порядку сопровождения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left="5529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инвестиционных проектов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left="5529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в Республике Хакасия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left="5529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Форма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tbl>
      <w:tblPr>
        <w:tblW w:w="5159" w:type="pct"/>
        <w:jc w:val="right"/>
        <w:tblBorders>
          <w:bottom w:val="single" w:color="00000A" w:sz="4" w:space="0"/>
          <w:insideH w:val="single" w:color="00000A" w:sz="4" w:space="0"/>
        </w:tblBorders>
        <w:tblLayout w:type="fixed"/>
        <w:tblCellMar>
          <w:left w:w="28" w:type="dxa"/>
          <w:top w:w="28" w:type="dxa"/>
          <w:right w:w="28" w:type="dxa"/>
          <w:bottom w:w="28" w:type="dxa"/>
        </w:tblCellMar>
        <w:tblLook w:val="04A0" w:firstRow="1" w:lastRow="0" w:firstColumn="1" w:lastColumn="0" w:noHBand="0" w:noVBand="1"/>
      </w:tblPr>
      <w:tblGrid>
        <w:gridCol w:w="2762"/>
        <w:gridCol w:w="1393"/>
        <w:gridCol w:w="992"/>
        <w:gridCol w:w="850"/>
        <w:gridCol w:w="51"/>
        <w:gridCol w:w="487"/>
        <w:gridCol w:w="709"/>
        <w:gridCol w:w="567"/>
        <w:gridCol w:w="240"/>
        <w:gridCol w:w="327"/>
        <w:gridCol w:w="387"/>
        <w:gridCol w:w="180"/>
        <w:gridCol w:w="714"/>
      </w:tblGrid>
      <w:tr>
        <w:tblPrEx/>
        <w:trPr>
          <w:jc w:val="right"/>
          <w:trHeight w:val="1903"/>
        </w:trPr>
        <w:tc>
          <w:tcPr>
            <w:gridSpan w:val="13"/>
            <w:tcBorders>
              <w:top w:val="none" w:color="000000" w:sz="4" w:space="0"/>
              <w:left w:val="none" w:color="000000" w:sz="4" w:space="0"/>
              <w:bottom w:val="single" w:color="00000A" w:sz="4" w:space="0"/>
              <w:right w:val="none" w:color="000000" w:sz="4" w:space="0"/>
            </w:tcBorders>
            <w:tcW w:w="965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/>
            <w:bookmarkStart w:id="51" w:name="P246"/>
            <w:r/>
            <w:bookmarkEnd w:id="51"/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РЕЗЮМЕ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Инвестиционного проекта: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Инвестора: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3"/>
        </w:trPr>
        <w:tc>
          <w:tcPr>
            <w:gridSpan w:val="1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965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Информация об инвесторе:</w:t>
            </w:r>
            <w:r/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Полное наименование организации /индивидуального предпринимателя, ИНН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Дата регистрации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Юридический адрес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Фактическое местонахождение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Руководитель, должность, контакты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Контактное лицо для взаимодействия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Учредители, доля участия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Сфера деятельности инвестора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Описание существующего бизнеса (при наличии)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Фактическая численность работников на момент обращения 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1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96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Информация о финансово-экономических показателях инвестора (инициатора проекта), 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за последний отчетный год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2762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Последний отчетный период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139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Выручка (млн руб.)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184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Расходы (млн руб.)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9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36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Прибыль (млн руб.)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2762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139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184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9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36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23"/>
        </w:trPr>
        <w:tc>
          <w:tcPr>
            <w:gridSpan w:val="1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965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Информация об инвестиционном проекте: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Суть инвестиционного проекта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Основной вид экономической деятельности по ОКВЭД, в рамках которой реализуется инвестиционный проект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Место реализации инвестиционного проекта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Количество создаваемых новых рабочих мест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1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96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Инвестиции: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Общая стоимость инвестиционного проекта, млн рублей, в том числе: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собственные средства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заемные средства (инвестиционный/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микрозаем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Объем инвестиции в основной капитал, млн рублей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ВСЕГО</w:t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Теку</w:t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щий год (N</w:t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:lang w:val="en-US" w:eastAsia="ru-RU"/>
                <w14:ligatures w14:val="none"/>
              </w:rPr>
              <w:t xml:space="preserve">)</w:t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53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:lang w:val="en-US" w:eastAsia="ru-RU"/>
                <w14:ligatures w14:val="none"/>
              </w:rPr>
              <w:t xml:space="preserve">N+1</w:t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A" w:sz="4" w:space="0"/>
              <w:left w:val="single" w:color="000000" w:sz="4" w:space="0"/>
              <w:bottom w:val="single" w:color="00000A" w:sz="4" w:space="0"/>
              <w:right w:val="single" w:color="00000A" w:sz="4" w:space="0"/>
            </w:tcBorders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color w:val="00b0f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N+1</w:t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color w:val="00b0f0" w:themeColor="text1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:lang w:val="en-US"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:lang w:val="en-US"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N+1</w:t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N+1</w:t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N+1</w:t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71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N+1</w:t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154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8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53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A" w:sz="4" w:space="0"/>
              <w:left w:val="single" w:color="000000" w:sz="4" w:space="0"/>
              <w:bottom w:val="single" w:color="00000A" w:sz="4" w:space="0"/>
              <w:right w:val="single" w:color="00000A" w:sz="4" w:space="0"/>
            </w:tcBorders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56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71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1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965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Календарный план этапов реализации проекта: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Период реализации инвестиционного проекта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 (месяц, год) – по (месяц, год)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pPr>
            <w:r/>
            <w:bookmarkStart w:id="208" w:name="_Hlk224557023"/>
            <w:r/>
            <w:bookmarkStart w:id="209" w:name="_Hlk224556775"/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Этапы реализации инвестиционного проекта</w:t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189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Стоимость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млн руб.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2002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Дата начала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16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Дата окончания</w:t>
            </w:r>
            <w:bookmarkEnd w:id="208"/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189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20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160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189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bookmarkEnd w:id="209"/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20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160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189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20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160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Итого: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189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20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160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Наименование и объем производства продукции/услуги, ориентировочная цена продукции/услуги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Наименование и объем затрат на сырье и материалы</w:t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189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Вид выпускаемой продукции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2002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Наименование сырья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16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Объем на 1 ед. продукции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auto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189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200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160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Рынок сбыта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Стадия реализации проекта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23"/>
        </w:trPr>
        <w:tc>
          <w:tcPr>
            <w:gridSpan w:val="13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965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Наличие ресурсов для реализации инвестиционного проекта: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/>
            <w:r/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b0f0"/>
                <w:sz w:val="24"/>
                <w:szCs w:val="24"/>
                <w:lang w:eastAsia="ru-RU"/>
                <w14:ligatures w14:val="none"/>
              </w:rPr>
            </w:pPr>
            <w:r/>
            <w:bookmarkStart w:id="320" w:name="_GoBack"/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Земельный участок</w:t>
            </w:r>
            <w:r>
              <w:rPr>
                <w:rFonts w:ascii="Times New Roman" w:hAnsi="Times New Roman" w:cs="Times New Roman" w:eastAsiaTheme="minorEastAsia"/>
                <w:color w:val="00b0f0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b0f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Аренда: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Адрес: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Кадастровый номер: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Площадь (га):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Арендодатель: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Срок аренды: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Собственность: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Адрес: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Кадастровый номер: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Площадь (га): </w:t>
            </w:r>
            <w:bookmarkEnd w:id="320"/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Здания, сооружения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Аренда: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Адрес: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Площадь: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Арендодатель: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Срок аренды: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Собственность: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Адрес: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Площадь/этажность: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3"/>
        </w:trPr>
        <w:tc>
          <w:tcPr>
            <w:gridSpan w:val="13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965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Потребности для реализации инвестиционного проекта: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Необходимая поддержка проекта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(поставить знак </w:t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  <w:t xml:space="preserve">V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 напротив)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61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организационное и информационное сопровождение инвестиционного проекта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9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left w:val="single" w:color="00000A" w:sz="4" w:space="0"/>
              <w:right w:val="single" w:color="00000A" w:sz="4" w:space="0"/>
            </w:tcBorders>
            <w:tcW w:w="4154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61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привлечение мер государственной поддержки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highlight w:val="yellow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highlight w:val="yellow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9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left w:val="single" w:color="00000A" w:sz="4" w:space="0"/>
              <w:right w:val="single" w:color="00000A" w:sz="4" w:space="0"/>
            </w:tcBorders>
            <w:tcW w:w="4154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61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подбор земельного участка для реализации проекта __ га (указать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площадь участка в гектарах)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9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left w:val="single" w:color="00000A" w:sz="4" w:space="0"/>
              <w:right w:val="single" w:color="00000A" w:sz="4" w:space="0"/>
            </w:tcBorders>
            <w:tcW w:w="4154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61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обеспечение проекта необходимой инфраструктурой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9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bottom w:val="single" w:color="00000A" w:sz="4" w:space="0"/>
            <w:insideH w:val="single" w:color="00000A" w:sz="4" w:space="0"/>
          </w:tblBorders>
        </w:tblPrEx>
        <w:trPr>
          <w:jc w:val="right"/>
          <w:trHeight w:val="23"/>
        </w:trPr>
        <w:tc>
          <w:tcPr>
            <w:gridSpan w:val="2"/>
            <w:tcBorders>
              <w:left w:val="single" w:color="00000A" w:sz="4" w:space="0"/>
              <w:right w:val="single" w:color="00000A" w:sz="4" w:space="0"/>
            </w:tcBorders>
            <w:tcW w:w="4154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61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иное (указать):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9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4154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  <w:t xml:space="preserve">Планируемое количество объектов к строительству</w:t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bCs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Оборудование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Инженерные коммуникации: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пиковая нагрузка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Электроснабжение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кВт (указать категорию надежности)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Газоснабжение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м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vertAlign w:val="superscript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/ч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Водоснабжение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хозяйственно-питьевые нужды __ м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vertAlign w:val="superscript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/ч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пожаротушение __ м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vertAlign w:val="superscript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/ч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jc w:val="right"/>
          <w:trHeight w:val="23"/>
        </w:trPr>
        <w:tc>
          <w:tcPr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415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Водоотведение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11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  <w:top w:w="0" w:type="dxa"/>
              <w:right w:w="108" w:type="dxa"/>
              <w:bottom w:w="0" w:type="dxa"/>
            </w:tcMar>
            <w:tcW w:w="5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м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vertAlign w:val="superscript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/ч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lang w:eastAsia="ru-RU"/>
          <w14:ligatures w14:val="none"/>
        </w:rPr>
        <w:br w:type="page" w:clear="all"/>
      </w:r>
      <w:r>
        <w:rPr>
          <w:rFonts w:ascii="Times New Roman" w:hAnsi="Times New Roman" w:cs="Times New Roman" w:eastAsiaTheme="minorEastAsia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lang w:eastAsia="ru-RU"/>
          <w14:ligatures w14:val="none"/>
        </w:rPr>
      </w:r>
    </w:p>
    <w:p>
      <w:pPr>
        <w:ind w:left="5245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outlineLvl w:val="1"/>
      </w:pPr>
      <w:r/>
      <w:bookmarkStart w:id="482" w:name="_Hlk224565169"/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Приложение 3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left="5245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к Порядку сопровождения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left="5245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инвестиционных проектов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left="5245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в Республике Хакасия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Форма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pPr>
      <w:r/>
      <w:bookmarkStart w:id="483" w:name="P365"/>
      <w:r/>
      <w:bookmarkEnd w:id="482"/>
      <w:r/>
      <w:bookmarkEnd w:id="483"/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СОГЛАСИЕ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на обработку персональных данных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28" w:type="dxa"/>
          <w:right w:w="28" w:type="dxa"/>
          <w:bottom w:w="28" w:type="dxa"/>
        </w:tblCellMar>
        <w:tblLook w:val="0000" w:firstRow="0" w:lastRow="0" w:firstColumn="0" w:lastColumn="0" w:noHBand="0" w:noVBand="0"/>
      </w:tblPr>
      <w:tblGrid>
        <w:gridCol w:w="577"/>
        <w:gridCol w:w="391"/>
        <w:gridCol w:w="419"/>
        <w:gridCol w:w="1694"/>
        <w:gridCol w:w="699"/>
        <w:gridCol w:w="694"/>
        <w:gridCol w:w="1507"/>
        <w:gridCol w:w="714"/>
        <w:gridCol w:w="838"/>
        <w:gridCol w:w="1816"/>
      </w:tblGrid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(информация о субъекте персональных данных)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309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W w:w="171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3"/>
            <w:tcW w:w="155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W w:w="141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30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W w:w="171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(фамилия)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3"/>
            <w:tcW w:w="155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(имя)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W w:w="141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(отчество)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паспорт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(основной документ, удостоверяющий личность)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(номер основного документа, удостоверяющего личность)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(дата выдачи указанного документа)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(сведения о выдавшем указанный документ органе)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зарегистрированный по адресу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(адрес)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(информация о представителе субъекта персональных данных)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30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W w:w="171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3"/>
            <w:tcW w:w="155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W w:w="141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30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4"/>
            <w:tcW w:w="171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(фамилия)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3"/>
            <w:tcW w:w="155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(имя)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W w:w="141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(отчество)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(основной документ, удостоверяющий личность)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(номер основного документа, удостоверяющего личность)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(дата выдачи указанного документа)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(сведения о выдавшем указанный документ органе)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зарегистрированный по адресу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(адрес)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наименование и реквизиты документа, подтверждающего полномочия представителя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 целью: сопровождения инвестиционного проекта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принимаю решение о представлении своих персональных данных в составе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фамилия, имя, отчество, адрес электронной почты, номер телефона, ИНН, ОГРН, банковские реквизиты и прочие данные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оператору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Фонд развития Республики Хакасия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Республика Хакасия, г. Абакан, просп. Дружбы Народов, 2А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и даю согласие на их обработку, включающую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осуществление любых действий (операций) в отношении моих персональных данны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х, которые необходимы для достижения указанных выше целей, включая (без ограничения) сбор, запись, систематизацию, накопление, хранение, уточнение (обновление, изменение), извлечение, использование, передачу в Фонд развития Республики Хакасия (в том числе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передачу третьим лицам – учреждениям и организациям, которым в соответствии с Федеральным </w:t>
            </w:r>
            <w:hyperlink r:id="rId14" w:tooltip="consultantplus://offline/ref=E693B08DA172D4D5A9FC33C9B344163BE2713E1B9976B39960CB765DF8BC249B6082093A48235B3E9B73B4F722s6V5K" w:history="1">
              <w:r>
                <w:rPr>
                  <w:rFonts w:ascii="Times New Roman" w:hAnsi="Times New Roman" w:cs="Times New Roman" w:eastAsiaTheme="minorEastAsia"/>
                  <w:sz w:val="24"/>
                  <w:szCs w:val="24"/>
                  <w:lang w:eastAsia="ru-RU"/>
                  <w14:ligatures w14:val="none"/>
                </w:rPr>
                <w:t xml:space="preserve">законом</w:t>
              </w:r>
            </w:hyperlink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 от 27.07.2006 № 152-ФЗ «О персональных данных» оператор может поручить обработку персональных данных или обязан представить персональн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ые данные в соответствии с действующим законодательством Российской Федерации), блокирование, удаление, уничтожение, а также осуществление с моими персональными данными любых иных действий, предусмотренных действующим законодательством Российской Федерации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 использованием средств автоматизированной обработки и без использования таковых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5"/>
            <w:tcW w:w="202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на срок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5"/>
            <w:tcW w:w="2978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до ДД/ММ/ГГГГ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Порядок отзыва согласия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Отзыв согласия подается в письменном виде лицом, указанным в согласии на обработку персональных данных, лично. Отзыв должен содержать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номер основного документа, удостоверяющего личность субъекта персональных данных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сведения о дате выдачи указанного документа и выдавшем его органе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собственноручную подпись субъекта персональных данных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сведения о согласии на обработку персональных данных (дата и адрес, по которому давалось согласие)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Лицом, осуществляющим прием такого отзыва, производится удостоверение личности подаю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щего такой отзыв.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ru-RU"/>
                <w14:ligatures w14:val="none"/>
              </w:rPr>
              <w:t xml:space="preserve">Отзыв согласия осуществляется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по адресу: Республика Хакасия, г. Абакан, просп. Дружбы Народов, 2А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В случае отзыва субъектом персональных данных согласия на обработку своих персональных данных прекращение обработки персональных данных и уничтожение персональных данных будет произведено в течение 30 дней с момента поступления отзыва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Порядок защиты субъектом персональных данных своих прав и законных интересов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осуществляется в соответствии с требованиями Федерального </w:t>
            </w:r>
            <w:hyperlink r:id="rId15" w:tooltip="consultantplus://offline/ref=E693B08DA172D4D5A9FC33C9B344163BE2713E1B9976B39960CB765DF8BC249B6082093A48235B3E9B73B4F722s6V5K" w:history="1">
              <w:r>
                <w:rPr>
                  <w:rFonts w:ascii="Times New Roman" w:hAnsi="Times New Roman" w:cs="Times New Roman" w:eastAsiaTheme="minorEastAsia"/>
                  <w:sz w:val="24"/>
                  <w:szCs w:val="24"/>
                  <w:lang w:eastAsia="ru-RU"/>
                  <w14:ligatures w14:val="none"/>
                </w:rPr>
                <w:t xml:space="preserve">закона</w:t>
              </w:r>
            </w:hyperlink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 от 27.07.2006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№ 152-ФЗ «О персональных данных»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Я подтверждаю, что представленные мною персональные данные являются полными, актуальными и достоверными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Я обязуюсь своевременно извещать об изменении представленных персональных данных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309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20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224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906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37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371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г.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W w:w="118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W w:w="141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30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20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22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906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37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371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W w:w="118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(личная подпись)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W w:w="141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(инициалы, фамилия)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gridSpan w:val="10"/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Представленные данные соответствуют предъявленным документам, удостоверяющим личность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309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20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224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906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37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20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371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г.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806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W w:w="83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971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30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20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22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906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37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371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806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(должность)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gridSpan w:val="2"/>
            <w:tcW w:w="83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(личная подпись)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971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  <w:t xml:space="preserve">(инициалы, фамилия)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  <w14:ligatures w14:val="none"/>
              </w:rPr>
            </w:r>
          </w:p>
        </w:tc>
      </w:tr>
    </w:tbl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  <w:sectPr>
          <w:headerReference w:type="default" r:id="rId9"/>
          <w:headerReference w:type="first" r:id="rId10"/>
          <w:footnotePr/>
          <w:endnotePr/>
          <w:type w:val="nextPage"/>
          <w:pgSz w:w="11910" w:h="16840" w:orient="portrait"/>
          <w:pgMar w:top="1134" w:right="850" w:bottom="1134" w:left="1701" w:header="712" w:footer="709" w:gutter="0"/>
          <w:cols w:num="1" w:sep="0" w:space="720" w:equalWidth="1"/>
          <w:docGrid w:linePitch="360"/>
          <w:titlePg/>
        </w:sect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</w:p>
    <w:p>
      <w:pPr>
        <w:ind w:left="5387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outlineLvl w:val="1"/>
      </w:pPr>
      <w:r/>
      <w:bookmarkStart w:id="486" w:name="_Hlk224575766"/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Приложение 4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left="5387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к Порядку сопровождения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left="5387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инвестиционных проектов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left="5387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в Республике Хакасия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Форма</w:t>
      </w:r>
      <w:bookmarkEnd w:id="486"/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14:ligatures w14:val="none"/>
        </w:rPr>
        <w:t xml:space="preserve">Согласие</w:t>
      </w:r>
      <w:r>
        <w:rPr>
          <w:rFonts w:ascii="Times New Roman" w:hAnsi="Times New Roman" w:eastAsia="Times New Roman" w:cs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14:ligatures w14:val="none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14:ligatures w14:val="none"/>
        </w:rPr>
        <w:t xml:space="preserve">на раскрытие информации об инвесторе и (или) инвестиционном проекте</w:t>
      </w:r>
      <w:r>
        <w:rPr>
          <w:rFonts w:ascii="Times New Roman" w:hAnsi="Times New Roman" w:eastAsia="Times New Roman" w:cs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14:ligatures w14:val="none"/>
        </w:rPr>
      </w:r>
    </w:p>
    <w:tbl>
      <w:tblPr>
        <w:tblStyle w:val="1034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345"/>
      </w:tblGrid>
      <w:tr>
        <w:tblPrEx/>
        <w:trPr/>
        <w:tc>
          <w:tcPr>
            <w:tcW w:w="9345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(полное и сокращенное наименование юридического лица),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tbl>
      <w:tblPr>
        <w:tblStyle w:val="1034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345"/>
      </w:tblGrid>
      <w:tr>
        <w:tblPrEx/>
        <w:trPr/>
        <w:tc>
          <w:tcPr>
            <w:tcW w:w="9345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(адрес (место нахождения),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tbl>
      <w:tblPr>
        <w:tblStyle w:val="1034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345"/>
      </w:tblGrid>
      <w:tr>
        <w:tblPrEx/>
        <w:trPr/>
        <w:tc>
          <w:tcPr>
            <w:tcW w:w="9345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(основной государственный регистрационный номер (ОГРН),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tbl>
      <w:tblPr>
        <w:tblStyle w:val="1034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345"/>
      </w:tblGrid>
      <w:tr>
        <w:tblPrEx/>
        <w:trPr/>
        <w:tc>
          <w:tcPr>
            <w:tcW w:w="9345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(идентификационный номер налогоплательщика (ИНН),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tbl>
      <w:tblPr>
        <w:tblStyle w:val="1034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345"/>
      </w:tblGrid>
      <w:tr>
        <w:tblPrEx/>
        <w:trPr/>
        <w:tc>
          <w:tcPr>
            <w:tcW w:w="9345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(код причины постановки на учет (КПП),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right="139"/>
        <w:jc w:val="both"/>
        <w:spacing w:after="0" w:line="240" w:lineRule="auto"/>
        <w:widowControl w:val="off"/>
        <w:tabs>
          <w:tab w:val="left" w:pos="9595" w:leader="none"/>
          <w:tab w:val="left" w:pos="10106" w:leader="none"/>
          <w:tab w:val="left" w:pos="10304" w:leader="none"/>
          <w:tab w:val="left" w:pos="10679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(далее – инвестор),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в лице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tbl>
      <w:tblPr>
        <w:tblStyle w:val="1034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345"/>
      </w:tblGrid>
      <w:tr>
        <w:tblPrEx/>
        <w:trPr/>
        <w:tc>
          <w:tcPr>
            <w:tcW w:w="9345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right="139"/>
        <w:jc w:val="center"/>
        <w:spacing w:after="0" w:line="240" w:lineRule="auto"/>
        <w:widowControl w:val="off"/>
        <w:tabs>
          <w:tab w:val="left" w:pos="9595" w:leader="none"/>
          <w:tab w:val="left" w:pos="10106" w:leader="none"/>
          <w:tab w:val="left" w:pos="10304" w:leader="none"/>
          <w:tab w:val="left" w:pos="10679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(должность руководителя, фамилия, имя, отчество (если имеется) полностью),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right="139"/>
        <w:jc w:val="both"/>
        <w:spacing w:after="0" w:line="240" w:lineRule="auto"/>
        <w:widowControl w:val="off"/>
        <w:tabs>
          <w:tab w:val="left" w:pos="9595" w:leader="none"/>
          <w:tab w:val="left" w:pos="10106" w:leader="none"/>
          <w:tab w:val="left" w:pos="10304" w:leader="none"/>
          <w:tab w:val="left" w:pos="10679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действующего на основании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tbl>
      <w:tblPr>
        <w:tblStyle w:val="1034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345"/>
      </w:tblGrid>
      <w:tr>
        <w:tblPrEx/>
        <w:trPr/>
        <w:tc>
          <w:tcPr>
            <w:tcW w:w="9345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right="341" w:firstLine="709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(документ, подтверждающий полномочия лица (устав, доверенность и др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угое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right="138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в соответствии с законодательством Российской Федерации настоящим даю Фонду разви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тия Республики Хакасия (далее – Фонд) согласие на раскрытие информации, указанной в настоящем документе и зафиксированной на материальных носителях и (или) представленной в электронно-цифровой (устной) форме (далее – информация), неограниченному кругу лиц.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right="148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Инвестор дает Фонду согласие на раскрытие следующей информации: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br/>
        <w:t xml:space="preserve">об инвесторе, в том числе полное и сокращенное наименование инвестора,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right="142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адрес (место нахождения), почтовый адрес, основной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 государственный регистрационный номер (ОГРН), дата государственной регистрации, идентификационный номер налогоплательщика (ИНН), код причины постановки на учет (КПП), сведения о руководящем(их) органе(ах) инвестора, телефон, факс, электронный адрес, сайт;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об инвестиционном проекте, в том числе: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widowControl w:val="off"/>
        <w:tabs>
          <w:tab w:val="left" w:pos="1703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о стоимости инвестиционного проекта;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widowControl w:val="off"/>
        <w:tabs>
          <w:tab w:val="left" w:pos="1703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об объеме привлеченных инвестиций;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widowControl w:val="off"/>
        <w:tabs>
          <w:tab w:val="left" w:pos="1703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о стадиях реализации инвестиционного проекта;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widowControl w:val="off"/>
        <w:tabs>
          <w:tab w:val="left" w:pos="1703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о сроках реализации инвестиционного проекта;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widowControl w:val="off"/>
        <w:tabs>
          <w:tab w:val="left" w:pos="1560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о ходе реализации инвестиционного проекта;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widowControl w:val="off"/>
        <w:tabs>
          <w:tab w:val="left" w:pos="1560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о достижении значений социально-экономических показателей;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widowControl w:val="off"/>
        <w:tabs>
          <w:tab w:val="left" w:pos="1560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о количестве создаваемых рабочих мест.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right="137" w:firstLine="709"/>
        <w:jc w:val="both"/>
        <w:spacing w:after="0" w:line="240" w:lineRule="auto"/>
        <w:widowControl w:val="off"/>
        <w:tabs>
          <w:tab w:val="left" w:pos="1560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Инвестор дает Фонду развития Республики Хакасия согласие на раскрытие информации любыми способами, в том числе путем ее опубликования в средствах массовой информации, распространения через электронные средства массовой информации, размещения на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нвестиционном портале Республики Хакасия.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560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Настоящее согласие дается в целях: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right="136" w:firstLine="709"/>
        <w:jc w:val="both"/>
        <w:spacing w:after="0" w:line="240" w:lineRule="auto"/>
        <w:widowControl w:val="off"/>
        <w:tabs>
          <w:tab w:val="left" w:pos="1560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оказания инвестору содействия в реализации и продвижении инвестиционного проекта на территории Республики Хакасия, в том числе в подготовке, выпуске и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распространении информационных и иных материалов об инвесторе и (или) инвестиционном проекте;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right="135" w:firstLine="709"/>
        <w:jc w:val="both"/>
        <w:spacing w:after="0" w:line="240" w:lineRule="auto"/>
        <w:widowControl w:val="off"/>
        <w:tabs>
          <w:tab w:val="left" w:pos="1560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обеспечения содействия инвестору в установлении взаимоотношений с исполнительными органами Республики Хакасия и органами местного самоуправления муниципальных образований</w:t>
      </w: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Республики Хакасия, организациями, учреждениями, предприятиями по вопросам, связанным с реализацией инвестиционного проекта.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right="138" w:firstLine="709"/>
        <w:jc w:val="both"/>
        <w:spacing w:after="0" w:line="240" w:lineRule="auto"/>
        <w:widowControl w:val="off"/>
        <w:tabs>
          <w:tab w:val="left" w:pos="1560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Настоящим инвестор признает и подтверждает, что в случае необходимости предоставления информации третьим лица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м для достижения указанных выше целей, Фонд вправе в необходимом объеме раскрывать для совершения вышеуказанных действий информацию об инвесторе и (или) инвестиционном проекте, а также представлять им соответствующие документы, содержащие такую информацию.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right="147" w:firstLine="709"/>
        <w:jc w:val="both"/>
        <w:spacing w:after="0" w:line="240" w:lineRule="auto"/>
        <w:widowControl w:val="off"/>
        <w:tabs>
          <w:tab w:val="left" w:pos="1560" w:leader="none"/>
          <w:tab w:val="left" w:pos="7769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Настоящее согласие действует в течение </w:t>
      </w:r>
      <w:r>
        <w:rPr>
          <w:rFonts w:ascii="Times New Roman" w:hAnsi="Times New Roman" w:eastAsia="Times New Roman" w:cs="Times New Roman"/>
          <w:sz w:val="24"/>
          <w:szCs w:val="24"/>
          <w:u w:val="single"/>
          <w14:ligatures w14:val="none"/>
        </w:rPr>
        <w:tab/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u w:val="singl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 лет со дня его оформления.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560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8752" behindDoc="1" locked="0" layoutInCell="1" allowOverlap="1">
                <wp:simplePos x="0" y="0"/>
                <wp:positionH relativeFrom="page">
                  <wp:posOffset>888796</wp:posOffset>
                </wp:positionH>
                <wp:positionV relativeFrom="paragraph">
                  <wp:posOffset>200691</wp:posOffset>
                </wp:positionV>
                <wp:extent cx="6311265" cy="1270"/>
                <wp:effectExtent l="0" t="0" r="0" b="0"/>
                <wp:wrapTopAndBottom/>
                <wp:docPr id="1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311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1265" fill="norm" stroke="1" extrusionOk="0">
                              <a:moveTo>
                                <a:pt x="0" y="0"/>
                              </a:moveTo>
                              <a:lnTo>
                                <a:pt x="6311211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z-index:-251658752;o:allowoverlap:true;o:allowincell:true;mso-position-horizontal-relative:page;margin-left:69.98pt;mso-position-horizontal:absolute;mso-position-vertical-relative:text;margin-top:15.80pt;mso-position-vertical:absolute;width:496.95pt;height:0.10pt;mso-wrap-distance-left:0.00pt;mso-wrap-distance-top:0.00pt;mso-wrap-distance-right:0.00pt;mso-wrap-distance-bottom:0.00pt;visibility:visible;" path="m0,0l99998,0e" coordsize="100000,100000" filled="f" strokecolor="#000000" strokeweight="0.56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560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(Должность руководителя, фамилия, имя, отчество (если имеется) полностью, подпись, дата)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560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xml:space="preserve">М. П. (при наличии печати)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  <w:sectPr>
          <w:headerReference w:type="default" r:id="rId11"/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</w:p>
    <w:p>
      <w:pPr>
        <w:ind w:left="8364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Приложение 5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left="8364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к Порядку сопровождения инвестиционных проектов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ind w:left="8364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в Республике Хакасия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Форма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СВЕДЕНИЯ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  <w:t xml:space="preserve">о ходе реализации инвестиционного проекта</w:t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  <w:t xml:space="preserve">__________________________________________________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  <w:t xml:space="preserve">(наименование инвестиционного проекта)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18"/>
          <w:szCs w:val="18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18"/>
          <w:szCs w:val="18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18"/>
          <w:szCs w:val="18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18"/>
          <w:szCs w:val="1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18"/>
          <w:szCs w:val="18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18"/>
          <w:szCs w:val="18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18"/>
          <w:szCs w:val="18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18"/>
          <w:szCs w:val="1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18"/>
          <w:szCs w:val="18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18"/>
          <w:szCs w:val="18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18"/>
          <w:szCs w:val="18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18"/>
          <w:szCs w:val="18"/>
          <w:lang w:eastAsia="ru-RU"/>
          <w14:ligatures w14:val="none"/>
        </w:rPr>
      </w:r>
    </w:p>
    <w:tbl>
      <w:tblPr>
        <w:tblW w:w="14898" w:type="dxa"/>
        <w:tblInd w:w="-150" w:type="dxa"/>
        <w:tblCellMar>
          <w:left w:w="28" w:type="dxa"/>
          <w:top w:w="28" w:type="dxa"/>
          <w:right w:w="28" w:type="dxa"/>
          <w:bottom w:w="28" w:type="dxa"/>
        </w:tblCellMar>
        <w:tblLook w:val="04A0" w:firstRow="1" w:lastRow="0" w:firstColumn="1" w:lastColumn="0" w:noHBand="0" w:noVBand="1"/>
      </w:tblPr>
      <w:tblGrid>
        <w:gridCol w:w="3663"/>
        <w:gridCol w:w="2433"/>
        <w:gridCol w:w="1559"/>
        <w:gridCol w:w="2282"/>
        <w:gridCol w:w="2268"/>
        <w:gridCol w:w="2693"/>
      </w:tblGrid>
      <w:tr>
        <w:tblPrEx/>
        <w:trPr>
          <w:trHeight w:val="136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6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Муниципальное образование,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 территории которого реализуется инвестиционный проект (район, город, поселение)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Полное наименование юридического лица/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индивидуального предпринимателя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ИНН/ОГРН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Планируемый объем финансирования проекта за счет всех источников, млн руб.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Планируемое количество вновь создаваемых рабочих мест, ед.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Источники финансирования (собственные/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привлеченные средства)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8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...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8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tbl>
      <w:tblPr>
        <w:tblW w:w="14884" w:type="dxa"/>
        <w:tblInd w:w="-150" w:type="dxa"/>
        <w:tblCellMar>
          <w:left w:w="28" w:type="dxa"/>
          <w:top w:w="28" w:type="dxa"/>
          <w:right w:w="28" w:type="dxa"/>
          <w:bottom w:w="28" w:type="dxa"/>
        </w:tblCellMar>
        <w:tblLook w:val="04A0" w:firstRow="1" w:lastRow="0" w:firstColumn="1" w:lastColumn="0" w:noHBand="0" w:noVBand="1"/>
      </w:tblPr>
      <w:tblGrid>
        <w:gridCol w:w="3686"/>
        <w:gridCol w:w="1134"/>
        <w:gridCol w:w="1276"/>
        <w:gridCol w:w="1637"/>
        <w:gridCol w:w="5309"/>
        <w:gridCol w:w="1842"/>
      </w:tblGrid>
      <w:tr>
        <w:tblPrEx/>
        <w:trPr>
          <w:trHeight w:val="2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8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Мероприятие по реализации инвестиционного проекта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соответствии с планом-графиком («дорожной картой») проекта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3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Ответственный исполнитель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30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Информация о выполнении мероприятий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реализации инвестиционного проекта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(выполнено/в стадии выполнения/не выполнено)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Примечание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начала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окончания работ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37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309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3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...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3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...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3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 w:eastAsiaTheme="minorEastAsia"/>
          <w:sz w:val="26"/>
          <w:szCs w:val="26"/>
          <w:lang w:eastAsia="ru-RU"/>
          <w14:ligatures w14:val="none"/>
        </w:rPr>
      </w:r>
    </w:p>
    <w:tbl>
      <w:tblPr>
        <w:tblW w:w="5000" w:type="pct"/>
        <w:tblInd w:w="-147" w:type="dxa"/>
        <w:tblLayout w:type="fixed"/>
        <w:tblCellMar>
          <w:left w:w="28" w:type="dxa"/>
          <w:top w:w="28" w:type="dxa"/>
          <w:right w:w="28" w:type="dxa"/>
          <w:bottom w:w="28" w:type="dxa"/>
        </w:tblCellMar>
        <w:tblLook w:val="04A0" w:firstRow="1" w:lastRow="0" w:firstColumn="1" w:lastColumn="0" w:noHBand="0" w:noVBand="1"/>
      </w:tblPr>
      <w:tblGrid>
        <w:gridCol w:w="1660"/>
        <w:gridCol w:w="693"/>
        <w:gridCol w:w="146"/>
        <w:gridCol w:w="2079"/>
        <w:gridCol w:w="1112"/>
        <w:gridCol w:w="2356"/>
        <w:gridCol w:w="6514"/>
      </w:tblGrid>
      <w:tr>
        <w:tblPrEx/>
        <w:trPr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/>
            <w:bookmarkStart w:id="499" w:name="_Hlk148962493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Отчетный период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(квартал, год)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gridSpan w:val="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1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рабочих мест, ед.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191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Затраты на реализацию инвестиционного проекта,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млн рублей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38" w:type="pct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Информация о ходе реализации проекта (разработано ПСД, наличие экспертизы, приобретены/обновлены производственные мощности, приобретены строительные материалы, проведено благоустройство территории и т.д.)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8" w:type="pct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план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64" w:type="pct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факт (нарастающим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итогом)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2" w:type="pct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план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9" w:type="pct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факт (нарастающим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итогом)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8" w:type="pct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6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3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...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8" w:type="pct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auto" w:fill="ffffff" w:themeFill="background1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64" w:type="pct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bookmarkEnd w:id="499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shd w:val="clear" w:color="auto" w:fill="ffffff" w:themeFill="background1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2" w:type="pct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 w:themeFill="background1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9" w:type="pct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38" w:type="pct"/>
            <w:textDirection w:val="lrTb"/>
            <w:noWrap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"/>
        </w:trPr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85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Инвестор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"/>
        </w:trPr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85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(Ф. И. О., должность руководителя юридического лица, подпись/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Ф. И. О. индивидуального предпринимателя, подпись)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"/>
        </w:trPr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85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Mar>
              <w:left w:w="0" w:type="dxa"/>
              <w:top w:w="0" w:type="dxa"/>
              <w:right w:w="0" w:type="dxa"/>
              <w:bottom w:w="0" w:type="dxa"/>
            </w:tcMar>
            <w:tcW w:w="414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"/>
        </w:trPr>
        <w:tc>
          <w:tcPr>
            <w:gridSpan w:val="7"/>
            <w:tcMar>
              <w:left w:w="0" w:type="dxa"/>
              <w:top w:w="0" w:type="dxa"/>
              <w:right w:w="0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М. П. (при наличии)».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1023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left="-142"/>
        <w:rPr>
          <w:sz w:val="26"/>
          <w:szCs w:val="26"/>
        </w:rPr>
      </w:pPr>
      <w:r>
        <w:rPr>
          <w:sz w:val="26"/>
          <w:szCs w:val="26"/>
        </w:rPr>
        <w:t xml:space="preserve">Глава Республики Хакасия –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3"/>
        <w:ind w:left="-142"/>
      </w:pPr>
      <w:r>
        <w:rPr>
          <w:sz w:val="26"/>
          <w:szCs w:val="26"/>
        </w:rPr>
        <w:t xml:space="preserve">Председатель Правительства</w:t>
      </w:r>
      <w:r/>
    </w:p>
    <w:p>
      <w:pPr>
        <w:pStyle w:val="1023"/>
        <w:ind w:left="-142"/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                                                                                    В. Коновалов</w:t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6838" w:h="11906" w:orient="landscape"/>
      <w:pgMar w:top="1701" w:right="1134" w:bottom="851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51650637"/>
      <w:docPartObj>
        <w:docPartGallery w:val="Page Numbers (Top of Page)"/>
        <w:docPartUnique w:val="true"/>
      </w:docPartObj>
      <w:rPr/>
    </w:sdtPr>
    <w:sdtContent>
      <w:p>
        <w:pPr>
          <w:pStyle w:val="102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15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38777749"/>
      <w:docPartObj>
        <w:docPartGallery w:val="Page Numbers (Top of Page)"/>
        <w:docPartUnique w:val="true"/>
      </w:docPartObj>
      <w:rPr/>
    </w:sdtPr>
    <w:sdtContent>
      <w:p>
        <w:pPr>
          <w:pStyle w:val="102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9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453123770"/>
      <w:docPartObj>
        <w:docPartGallery w:val="Page Numbers (Top of Page)"/>
        <w:docPartUnique w:val="true"/>
      </w:docPartObj>
      <w:rPr/>
    </w:sdtPr>
    <w:sdtContent>
      <w:p>
        <w:pPr>
          <w:pStyle w:val="102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6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26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14" w:firstLine="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71" w:firstLine="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28" w:firstLine="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5" w:firstLine="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2" w:firstLine="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99" w:firstLine="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56" w:firstLine="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suff w:val="tab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isLgl/>
      <w:suff w:val="tab"/>
      <w:lvlText w:val="%1.%2.%3.%4."/>
      <w:lvlJc w:val="left"/>
      <w:pPr>
        <w:ind w:left="3207" w:hanging="1080"/>
      </w:pPr>
      <w:rPr>
        <w:rFonts w:hint="default"/>
        <w:sz w:val="24"/>
      </w:rPr>
    </w:lvl>
    <w:lvl w:ilvl="4">
      <w:start w:val="1"/>
      <w:numFmt w:val="decimal"/>
      <w:isLgl/>
      <w:suff w:val="tab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isLgl/>
      <w:suff w:val="tab"/>
      <w:lvlText w:val="%1.%2.%3.%4.%5.%6."/>
      <w:lvlJc w:val="left"/>
      <w:pPr>
        <w:ind w:left="4985" w:hanging="1440"/>
      </w:pPr>
      <w:rPr>
        <w:rFonts w:hint="default"/>
        <w:sz w:val="24"/>
      </w:rPr>
    </w:lvl>
    <w:lvl w:ilvl="6">
      <w:start w:val="1"/>
      <w:numFmt w:val="decimal"/>
      <w:isLgl/>
      <w:suff w:val="tab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6763" w:hanging="1800"/>
      </w:pPr>
      <w:rPr>
        <w:rFonts w:hint="default"/>
        <w:sz w:val="24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5">
    <w:multiLevelType w:val="hybridMultilevel"/>
    <w:lvl w:ilvl="0">
      <w:start w:val="1"/>
      <w:numFmt w:val="bullet"/>
      <w:isLgl w:val="false"/>
      <w:suff w:val="space"/>
      <w:lvlText w:val="-"/>
      <w:lvlJc w:val="left"/>
      <w:pPr>
        <w:ind w:left="1704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621" w:hanging="164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543" w:hanging="164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386" w:hanging="164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307" w:hanging="164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229" w:hanging="164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150" w:hanging="164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72" w:hanging="16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039" w:hanging="360"/>
      </w:pPr>
      <w:rPr>
        <w:rFonts w:hint="default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02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102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102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102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10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102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102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1020" w:hanging="36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9" w:hanging="5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9"/>
  </w:num>
  <w:num w:numId="5">
    <w:abstractNumId w:val="4"/>
  </w:num>
  <w:num w:numId="6">
    <w:abstractNumId w:val="4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284" w:hanging="284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tab"/>
        <w:lvlText w:val="%1.%2."/>
        <w:lvlJc w:val="left"/>
        <w:pPr>
          <w:ind w:left="1429" w:hanging="720"/>
        </w:pPr>
        <w:rPr>
          <w:rFonts w:hint="default"/>
          <w:sz w:val="26"/>
          <w:szCs w:val="26"/>
        </w:rPr>
      </w:lvl>
    </w:lvlOverride>
    <w:lvlOverride w:ilvl="2">
      <w:lvl w:ilvl="2">
        <w:start w:val="1"/>
        <w:numFmt w:val="decimal"/>
        <w:isLgl/>
        <w:suff w:val="tab"/>
        <w:lvlText w:val="%1.%2.%3."/>
        <w:lvlJc w:val="left"/>
        <w:pPr>
          <w:ind w:left="2138" w:hanging="720"/>
        </w:pPr>
        <w:rPr>
          <w:rFonts w:hint="default"/>
          <w:sz w:val="24"/>
        </w:rPr>
      </w:lvl>
    </w:lvlOverride>
    <w:lvlOverride w:ilvl="3">
      <w:lvl w:ilvl="3">
        <w:start w:val="1"/>
        <w:numFmt w:val="decimal"/>
        <w:isLgl/>
        <w:suff w:val="tab"/>
        <w:lvlText w:val="%1.%2.%3.%4."/>
        <w:lvlJc w:val="left"/>
        <w:pPr>
          <w:ind w:left="3207" w:hanging="1080"/>
        </w:pPr>
        <w:rPr>
          <w:rFonts w:hint="default"/>
          <w:sz w:val="24"/>
        </w:rPr>
      </w:lvl>
    </w:lvlOverride>
    <w:lvlOverride w:ilvl="4">
      <w:lvl w:ilvl="4">
        <w:start w:val="1"/>
        <w:numFmt w:val="decimal"/>
        <w:isLgl/>
        <w:suff w:val="tab"/>
        <w:lvlText w:val="%1.%2.%3.%4.%5."/>
        <w:lvlJc w:val="left"/>
        <w:pPr>
          <w:ind w:left="3916" w:hanging="1080"/>
        </w:pPr>
        <w:rPr>
          <w:rFonts w:hint="default"/>
          <w:sz w:val="24"/>
        </w:rPr>
      </w:lvl>
    </w:lvlOverride>
    <w:lvlOverride w:ilvl="5">
      <w:lvl w:ilvl="5">
        <w:start w:val="1"/>
        <w:numFmt w:val="decimal"/>
        <w:isLgl/>
        <w:suff w:val="tab"/>
        <w:lvlText w:val="%1.%2.%3.%4.%5.%6."/>
        <w:lvlJc w:val="left"/>
        <w:pPr>
          <w:ind w:left="4985" w:hanging="1440"/>
        </w:pPr>
        <w:rPr>
          <w:rFonts w:hint="default"/>
          <w:sz w:val="24"/>
        </w:rPr>
      </w:lvl>
    </w:lvlOverride>
    <w:lvlOverride w:ilvl="6">
      <w:lvl w:ilvl="6">
        <w:start w:val="1"/>
        <w:numFmt w:val="decimal"/>
        <w:isLgl/>
        <w:suff w:val="tab"/>
        <w:lvlText w:val="%1.%2.%3.%4.%5.%6.%7."/>
        <w:lvlJc w:val="left"/>
        <w:pPr>
          <w:ind w:left="5694" w:hanging="1440"/>
        </w:pPr>
        <w:rPr>
          <w:rFonts w:hint="default"/>
          <w:sz w:val="24"/>
        </w:rPr>
      </w:lvl>
    </w:lvlOverride>
    <w:lvlOverride w:ilvl="7">
      <w:lvl w:ilvl="7">
        <w:start w:val="1"/>
        <w:numFmt w:val="decimal"/>
        <w:isLgl/>
        <w:suff w:val="tab"/>
        <w:lvlText w:val="%1.%2.%3.%4.%5.%6.%7.%8."/>
        <w:lvlJc w:val="left"/>
        <w:pPr>
          <w:ind w:left="6763" w:hanging="1800"/>
        </w:pPr>
        <w:rPr>
          <w:rFonts w:hint="default"/>
          <w:sz w:val="24"/>
        </w:rPr>
      </w:lvl>
    </w:lvlOverride>
    <w:lvlOverride w:ilvl="8">
      <w:lvl w:ilvl="8">
        <w:start w:val="1"/>
        <w:numFmt w:val="decimal"/>
        <w:isLgl/>
        <w:suff w:val="tab"/>
        <w:lvlText w:val="%1.%2.%3.%4.%5.%6.%7.%8.%9."/>
        <w:lvlJc w:val="left"/>
        <w:pPr>
          <w:ind w:left="7472" w:hanging="1800"/>
        </w:pPr>
        <w:rPr>
          <w:rFonts w:hint="default"/>
          <w:sz w:val="24"/>
        </w:rPr>
      </w:lvl>
    </w:lvlOverride>
  </w:num>
  <w:num w:numId="7">
    <w:abstractNumId w:val="3"/>
  </w:num>
  <w:num w:numId="8">
    <w:abstractNumId w:val="5"/>
  </w:num>
  <w:num w:numId="9">
    <w:abstractNumId w:val="10"/>
  </w:num>
  <w:num w:numId="10">
    <w:abstractNumId w:val="6"/>
  </w:num>
  <w:num w:numId="11">
    <w:abstractNumId w:val="1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3" w:default="1">
    <w:name w:val="Normal"/>
    <w:qFormat/>
  </w:style>
  <w:style w:type="paragraph" w:styleId="754">
    <w:name w:val="Heading 1"/>
    <w:basedOn w:val="753"/>
    <w:next w:val="753"/>
    <w:link w:val="85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55">
    <w:name w:val="Heading 2"/>
    <w:basedOn w:val="753"/>
    <w:next w:val="753"/>
    <w:link w:val="85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56">
    <w:name w:val="Heading 3"/>
    <w:basedOn w:val="753"/>
    <w:next w:val="753"/>
    <w:link w:val="8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57">
    <w:name w:val="Heading 4"/>
    <w:basedOn w:val="753"/>
    <w:next w:val="753"/>
    <w:link w:val="8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58">
    <w:name w:val="Heading 5"/>
    <w:basedOn w:val="753"/>
    <w:next w:val="753"/>
    <w:link w:val="86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59">
    <w:name w:val="Heading 6"/>
    <w:basedOn w:val="753"/>
    <w:next w:val="753"/>
    <w:link w:val="86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60">
    <w:name w:val="Heading 7"/>
    <w:basedOn w:val="753"/>
    <w:next w:val="753"/>
    <w:link w:val="86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61">
    <w:name w:val="Heading 8"/>
    <w:basedOn w:val="753"/>
    <w:next w:val="753"/>
    <w:link w:val="86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62">
    <w:name w:val="Heading 9"/>
    <w:basedOn w:val="753"/>
    <w:next w:val="753"/>
    <w:link w:val="86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3" w:default="1">
    <w:name w:val="Default Paragraph Font"/>
    <w:uiPriority w:val="1"/>
    <w:semiHidden/>
    <w:unhideWhenUsed/>
  </w:style>
  <w:style w:type="table" w:styleId="7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5" w:default="1">
    <w:name w:val="No List"/>
    <w:uiPriority w:val="99"/>
    <w:semiHidden/>
    <w:unhideWhenUsed/>
  </w:style>
  <w:style w:type="table" w:styleId="766">
    <w:name w:val="Plain Table 1"/>
    <w:basedOn w:val="7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7">
    <w:name w:val="Plain Table 2"/>
    <w:basedOn w:val="7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8">
    <w:name w:val="Plain Table 3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9">
    <w:name w:val="Plain Table 4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Plain Table 5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1">
    <w:name w:val="Grid Table 1 Light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5 Dark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6">
    <w:name w:val="Grid Table 6 Colorful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7">
    <w:name w:val="Grid Table 7 Colorful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>
    <w:name w:val="List Table 1 Light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3">
    <w:name w:val="List Table 6 Colorful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4">
    <w:name w:val="List Table 7 Colorful"/>
    <w:basedOn w:val="7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Таблица простая 11"/>
    <w:basedOn w:val="7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6" w:customStyle="1">
    <w:name w:val="Таблица простая 21"/>
    <w:basedOn w:val="7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7" w:customStyle="1">
    <w:name w:val="Таблица простая 3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8" w:customStyle="1">
    <w:name w:val="Таблица простая 4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Таблица простая 5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0" w:customStyle="1">
    <w:name w:val="Таблица-сетка 1 светл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Таблица-сетка 2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Таблица-сетка 3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Таблица-сетка 41"/>
    <w:basedOn w:val="7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4" w:customStyle="1">
    <w:name w:val="Таблица-сетка 5 тем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5" w:customStyle="1">
    <w:name w:val="Таблица-сетка 6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6" w:customStyle="1">
    <w:name w:val="Таблица-сетка 7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Список-таблица 1 светлая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Список-таблица 2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9" w:customStyle="1">
    <w:name w:val="Список-таблица 3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Список-таблица 4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Список-таблица 5 тем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2" w:customStyle="1">
    <w:name w:val="Список-таблица 6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3" w:customStyle="1">
    <w:name w:val="Список-таблица 7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Таблица простая 11"/>
    <w:basedOn w:val="7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05" w:customStyle="1">
    <w:name w:val="Таблица простая 21"/>
    <w:basedOn w:val="7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06" w:customStyle="1">
    <w:name w:val="Таблица простая 3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7" w:customStyle="1">
    <w:name w:val="Таблица простая 4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Таблица простая 5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9" w:customStyle="1">
    <w:name w:val="Таблица-сетка 1 светл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Таблица-сетка 2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Таблица-сетка 3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Таблица-сетка 41"/>
    <w:basedOn w:val="7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3" w:customStyle="1">
    <w:name w:val="Таблица-сетка 5 тем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4" w:customStyle="1">
    <w:name w:val="Таблица-сетка 6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5" w:customStyle="1">
    <w:name w:val="Таблица-сетка 7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Список-таблица 1 светлая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Список-таблица 2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8" w:customStyle="1">
    <w:name w:val="Список-таблица 3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Список-таблица 4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Список-таблица 5 тем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1" w:customStyle="1">
    <w:name w:val="Список-таблица 6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2" w:customStyle="1">
    <w:name w:val="Список-таблица 7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823" w:customStyle="1">
    <w:name w:val="Heading 1 Char"/>
    <w:basedOn w:val="76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824" w:customStyle="1">
    <w:name w:val="Heading 2 Char"/>
    <w:basedOn w:val="763"/>
    <w:uiPriority w:val="9"/>
    <w:rPr>
      <w:rFonts w:ascii="Liberation Sans" w:hAnsi="Liberation Sans" w:eastAsia="Liberation Sans" w:cs="Liberation Sans"/>
      <w:sz w:val="34"/>
    </w:rPr>
  </w:style>
  <w:style w:type="character" w:styleId="825" w:customStyle="1">
    <w:name w:val="Heading 3 Char"/>
    <w:basedOn w:val="76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826" w:customStyle="1">
    <w:name w:val="Heading 4 Char"/>
    <w:basedOn w:val="76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27" w:customStyle="1">
    <w:name w:val="Heading 5 Char"/>
    <w:basedOn w:val="7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28" w:customStyle="1">
    <w:name w:val="Heading 6 Char"/>
    <w:basedOn w:val="76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29" w:customStyle="1">
    <w:name w:val="Heading 7 Char"/>
    <w:basedOn w:val="7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30" w:customStyle="1">
    <w:name w:val="Heading 8 Char"/>
    <w:basedOn w:val="76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31" w:customStyle="1">
    <w:name w:val="Heading 9 Char"/>
    <w:basedOn w:val="76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32" w:customStyle="1">
    <w:name w:val="Title Char"/>
    <w:basedOn w:val="763"/>
    <w:uiPriority w:val="10"/>
    <w:rPr>
      <w:sz w:val="48"/>
      <w:szCs w:val="48"/>
    </w:rPr>
  </w:style>
  <w:style w:type="character" w:styleId="833" w:customStyle="1">
    <w:name w:val="Subtitle Char"/>
    <w:basedOn w:val="763"/>
    <w:uiPriority w:val="11"/>
    <w:rPr>
      <w:sz w:val="24"/>
      <w:szCs w:val="24"/>
    </w:rPr>
  </w:style>
  <w:style w:type="character" w:styleId="834" w:customStyle="1">
    <w:name w:val="Quote Char"/>
    <w:uiPriority w:val="29"/>
    <w:rPr>
      <w:i/>
    </w:rPr>
  </w:style>
  <w:style w:type="character" w:styleId="835" w:customStyle="1">
    <w:name w:val="Intense Quote Char"/>
    <w:uiPriority w:val="30"/>
    <w:rPr>
      <w:i/>
    </w:rPr>
  </w:style>
  <w:style w:type="character" w:styleId="836" w:customStyle="1">
    <w:name w:val="Caption Char"/>
    <w:basedOn w:val="763"/>
    <w:uiPriority w:val="35"/>
    <w:rPr>
      <w:b/>
      <w:bCs/>
      <w:color w:val="4472c4" w:themeColor="accent1"/>
      <w:sz w:val="18"/>
      <w:szCs w:val="18"/>
    </w:rPr>
  </w:style>
  <w:style w:type="table" w:styleId="837" w:customStyle="1">
    <w:name w:val="Таблица простая 11"/>
    <w:basedOn w:val="7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38" w:customStyle="1">
    <w:name w:val="Таблица простая 21"/>
    <w:basedOn w:val="7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39" w:customStyle="1">
    <w:name w:val="Таблица простая 3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0" w:customStyle="1">
    <w:name w:val="Таблица простая 4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Таблица простая 5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2" w:customStyle="1">
    <w:name w:val="Таблица-сетка 1 светл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Таблица-сетка 2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Таблица-сетка 3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Таблица-сетка 41"/>
    <w:basedOn w:val="7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6" w:customStyle="1">
    <w:name w:val="Таблица-сетка 5 тем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7" w:customStyle="1">
    <w:name w:val="Таблица-сетка 6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8" w:customStyle="1">
    <w:name w:val="Таблица-сетка 7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Список-таблица 1 светлая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Список-таблица 2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1" w:customStyle="1">
    <w:name w:val="Список-таблица 3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Список-таблица 4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Список-таблица 5 тем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4" w:customStyle="1">
    <w:name w:val="Список-таблица 6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5" w:customStyle="1">
    <w:name w:val="Список-таблица 7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56" w:customStyle="1">
    <w:name w:val="Footnote Text Char"/>
    <w:uiPriority w:val="99"/>
    <w:rPr>
      <w:sz w:val="18"/>
    </w:rPr>
  </w:style>
  <w:style w:type="character" w:styleId="857" w:customStyle="1">
    <w:name w:val="Endnote Text Char"/>
    <w:uiPriority w:val="99"/>
    <w:rPr>
      <w:sz w:val="20"/>
    </w:rPr>
  </w:style>
  <w:style w:type="character" w:styleId="858" w:customStyle="1">
    <w:name w:val="Заголовок 1 Знак"/>
    <w:basedOn w:val="763"/>
    <w:link w:val="75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859" w:customStyle="1">
    <w:name w:val="Заголовок 2 Знак"/>
    <w:basedOn w:val="763"/>
    <w:link w:val="755"/>
    <w:uiPriority w:val="9"/>
    <w:rPr>
      <w:rFonts w:ascii="Liberation Sans" w:hAnsi="Liberation Sans" w:eastAsia="Liberation Sans" w:cs="Liberation Sans"/>
      <w:sz w:val="34"/>
    </w:rPr>
  </w:style>
  <w:style w:type="character" w:styleId="860" w:customStyle="1">
    <w:name w:val="Заголовок 3 Знак"/>
    <w:basedOn w:val="763"/>
    <w:link w:val="75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861" w:customStyle="1">
    <w:name w:val="Заголовок 4 Знак"/>
    <w:basedOn w:val="763"/>
    <w:link w:val="75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62" w:customStyle="1">
    <w:name w:val="Заголовок 5 Знак"/>
    <w:basedOn w:val="763"/>
    <w:link w:val="75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63" w:customStyle="1">
    <w:name w:val="Заголовок 6 Знак"/>
    <w:basedOn w:val="763"/>
    <w:link w:val="75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64" w:customStyle="1">
    <w:name w:val="Заголовок 7 Знак"/>
    <w:basedOn w:val="763"/>
    <w:link w:val="76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65" w:customStyle="1">
    <w:name w:val="Заголовок 8 Знак"/>
    <w:basedOn w:val="763"/>
    <w:link w:val="76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66" w:customStyle="1">
    <w:name w:val="Заголовок 9 Знак"/>
    <w:basedOn w:val="763"/>
    <w:link w:val="76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867">
    <w:name w:val="No Spacing"/>
    <w:uiPriority w:val="1"/>
    <w:qFormat/>
    <w:pPr>
      <w:spacing w:after="0" w:line="240" w:lineRule="auto"/>
    </w:pPr>
  </w:style>
  <w:style w:type="paragraph" w:styleId="868">
    <w:name w:val="Title"/>
    <w:basedOn w:val="753"/>
    <w:next w:val="753"/>
    <w:link w:val="86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69" w:customStyle="1">
    <w:name w:val="Название Знак"/>
    <w:basedOn w:val="763"/>
    <w:link w:val="868"/>
    <w:uiPriority w:val="10"/>
    <w:rPr>
      <w:sz w:val="48"/>
      <w:szCs w:val="48"/>
    </w:rPr>
  </w:style>
  <w:style w:type="paragraph" w:styleId="870">
    <w:name w:val="Subtitle"/>
    <w:basedOn w:val="753"/>
    <w:next w:val="753"/>
    <w:link w:val="871"/>
    <w:uiPriority w:val="11"/>
    <w:qFormat/>
    <w:pPr>
      <w:spacing w:before="200" w:after="200"/>
    </w:pPr>
    <w:rPr>
      <w:sz w:val="24"/>
      <w:szCs w:val="24"/>
    </w:rPr>
  </w:style>
  <w:style w:type="character" w:styleId="871" w:customStyle="1">
    <w:name w:val="Подзаголовок Знак"/>
    <w:basedOn w:val="763"/>
    <w:link w:val="870"/>
    <w:uiPriority w:val="11"/>
    <w:rPr>
      <w:sz w:val="24"/>
      <w:szCs w:val="24"/>
    </w:rPr>
  </w:style>
  <w:style w:type="paragraph" w:styleId="872">
    <w:name w:val="Quote"/>
    <w:basedOn w:val="753"/>
    <w:next w:val="753"/>
    <w:link w:val="873"/>
    <w:uiPriority w:val="29"/>
    <w:qFormat/>
    <w:pPr>
      <w:ind w:left="720" w:right="720"/>
    </w:pPr>
    <w:rPr>
      <w:i/>
    </w:rPr>
  </w:style>
  <w:style w:type="character" w:styleId="873" w:customStyle="1">
    <w:name w:val="Цитата 2 Знак"/>
    <w:link w:val="872"/>
    <w:uiPriority w:val="29"/>
    <w:rPr>
      <w:i/>
    </w:rPr>
  </w:style>
  <w:style w:type="paragraph" w:styleId="874">
    <w:name w:val="Intense Quote"/>
    <w:basedOn w:val="753"/>
    <w:next w:val="753"/>
    <w:link w:val="87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75" w:customStyle="1">
    <w:name w:val="Выделенная цитата Знак"/>
    <w:link w:val="874"/>
    <w:uiPriority w:val="30"/>
    <w:rPr>
      <w:i/>
    </w:rPr>
  </w:style>
  <w:style w:type="character" w:styleId="876" w:customStyle="1">
    <w:name w:val="Header Char"/>
    <w:basedOn w:val="763"/>
    <w:uiPriority w:val="99"/>
  </w:style>
  <w:style w:type="character" w:styleId="877" w:customStyle="1">
    <w:name w:val="Footer Char"/>
    <w:basedOn w:val="763"/>
    <w:uiPriority w:val="99"/>
  </w:style>
  <w:style w:type="paragraph" w:styleId="878">
    <w:name w:val="Caption"/>
    <w:basedOn w:val="753"/>
    <w:next w:val="753"/>
    <w:link w:val="87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79" w:customStyle="1">
    <w:name w:val="Название объекта Знак"/>
    <w:basedOn w:val="763"/>
    <w:link w:val="878"/>
    <w:uiPriority w:val="35"/>
    <w:rPr>
      <w:b/>
      <w:bCs/>
      <w:color w:val="4472c4" w:themeColor="accent1"/>
      <w:sz w:val="18"/>
      <w:szCs w:val="18"/>
    </w:rPr>
  </w:style>
  <w:style w:type="table" w:styleId="880" w:customStyle="1">
    <w:name w:val="Table Grid Light"/>
    <w:basedOn w:val="7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81" w:customStyle="1">
    <w:name w:val="Таблица простая 11"/>
    <w:basedOn w:val="7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82" w:customStyle="1">
    <w:name w:val="Таблица простая 21"/>
    <w:basedOn w:val="7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83" w:customStyle="1">
    <w:name w:val="Таблица простая 3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84" w:customStyle="1">
    <w:name w:val="Таблица простая 4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Таблица простая 5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6" w:customStyle="1">
    <w:name w:val="Таблица-сетка 1 светл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Grid Table 1 Light 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Grid Table 1 Light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Grid Table 1 Light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Grid Table 1 Light 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Grid Table 1 Light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Grid Table 1 Light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Таблица-сетка 2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2 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2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2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2 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2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2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Таблица-сетка 3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3 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3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3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3 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3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3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Таблица-сетка 41"/>
    <w:basedOn w:val="7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08" w:customStyle="1">
    <w:name w:val="Grid Table 4 - Accent 1"/>
    <w:basedOn w:val="7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909" w:customStyle="1">
    <w:name w:val="Grid Table 4 - Accent 2"/>
    <w:basedOn w:val="7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910" w:customStyle="1">
    <w:name w:val="Grid Table 4 - Accent 3"/>
    <w:basedOn w:val="7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911" w:customStyle="1">
    <w:name w:val="Grid Table 4 - Accent 4"/>
    <w:basedOn w:val="7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912" w:customStyle="1">
    <w:name w:val="Grid Table 4 - Accent 5"/>
    <w:basedOn w:val="7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913" w:customStyle="1">
    <w:name w:val="Grid Table 4 - Accent 6"/>
    <w:basedOn w:val="7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914" w:customStyle="1">
    <w:name w:val="Таблица-сетка 5 тем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15" w:customStyle="1">
    <w:name w:val="Grid Table 5 Dark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916" w:customStyle="1">
    <w:name w:val="Grid Table 5 Dark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917" w:customStyle="1">
    <w:name w:val="Grid Table 5 Dark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918" w:customStyle="1">
    <w:name w:val="Grid Table 5 Dark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919" w:customStyle="1">
    <w:name w:val="Grid Table 5 Dark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920" w:customStyle="1">
    <w:name w:val="Grid Table 5 Dark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921" w:customStyle="1">
    <w:name w:val="Таблица-сетка 6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22" w:customStyle="1">
    <w:name w:val="Grid Table 6 Colorful 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923" w:customStyle="1">
    <w:name w:val="Grid Table 6 Colorful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24" w:customStyle="1">
    <w:name w:val="Grid Table 6 Colorful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25" w:customStyle="1">
    <w:name w:val="Grid Table 6 Colorful 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26" w:customStyle="1">
    <w:name w:val="Grid Table 6 Colorful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27" w:customStyle="1">
    <w:name w:val="Grid Table 6 Colorful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28" w:customStyle="1">
    <w:name w:val="Таблица-сетка 7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Grid Table 7 Colorful 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Grid Table 7 Colorful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Grid Table 7 Colorful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Grid Table 7 Colorful 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Grid Table 7 Colorful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Grid Table 7 Colorful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Список-таблица 1 светлая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List Table 1 Light - Accent 1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 w:customStyle="1">
    <w:name w:val="List Table 1 Light - Accent 2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1 Light - Accent 3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1 Light - Accent 4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1 Light - Accent 5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1 Light - Accent 6"/>
    <w:basedOn w:val="7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Список-таблица 2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43" w:customStyle="1">
    <w:name w:val="List Table 2 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44" w:customStyle="1">
    <w:name w:val="List Table 2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45" w:customStyle="1">
    <w:name w:val="List Table 2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46" w:customStyle="1">
    <w:name w:val="List Table 2 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47" w:customStyle="1">
    <w:name w:val="List Table 2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48" w:customStyle="1">
    <w:name w:val="List Table 2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49" w:customStyle="1">
    <w:name w:val="Список-таблица 3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 w:customStyle="1">
    <w:name w:val="List Table 3 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 w:customStyle="1">
    <w:name w:val="List Table 3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 w:customStyle="1">
    <w:name w:val="List Table 3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 w:customStyle="1">
    <w:name w:val="List Table 3 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 w:customStyle="1">
    <w:name w:val="List Table 3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 w:customStyle="1">
    <w:name w:val="List Table 3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6" w:customStyle="1">
    <w:name w:val="Список-таблица 4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7" w:customStyle="1">
    <w:name w:val="List Table 4 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8" w:customStyle="1">
    <w:name w:val="List Table 4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9" w:customStyle="1">
    <w:name w:val="List Table 4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0" w:customStyle="1">
    <w:name w:val="List Table 4 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1" w:customStyle="1">
    <w:name w:val="List Table 4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2" w:customStyle="1">
    <w:name w:val="List Table 4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3" w:customStyle="1">
    <w:name w:val="Список-таблица 5 тем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64" w:customStyle="1">
    <w:name w:val="List Table 5 Dark 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65" w:customStyle="1">
    <w:name w:val="List Table 5 Dark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66" w:customStyle="1">
    <w:name w:val="List Table 5 Dark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67" w:customStyle="1">
    <w:name w:val="List Table 5 Dark 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68" w:customStyle="1">
    <w:name w:val="List Table 5 Dark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69" w:customStyle="1">
    <w:name w:val="List Table 5 Dark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70" w:customStyle="1">
    <w:name w:val="Список-таблица 6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71" w:customStyle="1">
    <w:name w:val="List Table 6 Colorful 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72" w:customStyle="1">
    <w:name w:val="List Table 6 Colorful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73" w:customStyle="1">
    <w:name w:val="List Table 6 Colorful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74" w:customStyle="1">
    <w:name w:val="List Table 6 Colorful 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75" w:customStyle="1">
    <w:name w:val="List Table 6 Colorful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76" w:customStyle="1">
    <w:name w:val="List Table 6 Colorful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77" w:customStyle="1">
    <w:name w:val="Список-таблица 7 цветная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8" w:customStyle="1">
    <w:name w:val="List Table 7 Colorful 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9" w:customStyle="1">
    <w:name w:val="List Table 7 Colorful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 w:customStyle="1">
    <w:name w:val="List Table 7 Colorful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 w:customStyle="1">
    <w:name w:val="List Table 7 Colorful 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List Table 7 Colorful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 w:customStyle="1">
    <w:name w:val="List Table 7 Colorful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Lined - Accent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85" w:customStyle="1">
    <w:name w:val="Lined - Accent 1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86" w:customStyle="1">
    <w:name w:val="Lined - Accent 2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87" w:customStyle="1">
    <w:name w:val="Lined - Accent 3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88" w:customStyle="1">
    <w:name w:val="Lined - Accent 4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89" w:customStyle="1">
    <w:name w:val="Lined - Accent 5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90" w:customStyle="1">
    <w:name w:val="Lined - Accent 6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91" w:customStyle="1">
    <w:name w:val="Bordered &amp; Lined - Accent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92" w:customStyle="1">
    <w:name w:val="Bordered &amp; Lined - Accent 1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93" w:customStyle="1">
    <w:name w:val="Bordered &amp; Lined - Accent 2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94" w:customStyle="1">
    <w:name w:val="Bordered &amp; Lined - Accent 3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95" w:customStyle="1">
    <w:name w:val="Bordered &amp; Lined - Accent 4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96" w:customStyle="1">
    <w:name w:val="Bordered &amp; Lined - Accent 5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97" w:customStyle="1">
    <w:name w:val="Bordered &amp; Lined - Accent 6"/>
    <w:basedOn w:val="764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98" w:customStyle="1">
    <w:name w:val="Bordered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99" w:customStyle="1">
    <w:name w:val="Bordered - Accent 1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000" w:customStyle="1">
    <w:name w:val="Bordered - Accent 2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001" w:customStyle="1">
    <w:name w:val="Bordered - Accent 3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002" w:customStyle="1">
    <w:name w:val="Bordered - Accent 4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003" w:customStyle="1">
    <w:name w:val="Bordered - Accent 5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004" w:customStyle="1">
    <w:name w:val="Bordered - Accent 6"/>
    <w:basedOn w:val="7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1005">
    <w:name w:val="footnote text"/>
    <w:basedOn w:val="753"/>
    <w:link w:val="1006"/>
    <w:uiPriority w:val="99"/>
    <w:semiHidden/>
    <w:unhideWhenUsed/>
    <w:pPr>
      <w:spacing w:after="40" w:line="240" w:lineRule="auto"/>
    </w:pPr>
    <w:rPr>
      <w:sz w:val="18"/>
    </w:rPr>
  </w:style>
  <w:style w:type="character" w:styleId="1006" w:customStyle="1">
    <w:name w:val="Текст сноски Знак"/>
    <w:link w:val="1005"/>
    <w:uiPriority w:val="99"/>
    <w:rPr>
      <w:sz w:val="18"/>
    </w:rPr>
  </w:style>
  <w:style w:type="character" w:styleId="1007">
    <w:name w:val="footnote reference"/>
    <w:basedOn w:val="763"/>
    <w:uiPriority w:val="99"/>
    <w:unhideWhenUsed/>
    <w:rPr>
      <w:vertAlign w:val="superscript"/>
    </w:rPr>
  </w:style>
  <w:style w:type="paragraph" w:styleId="1008">
    <w:name w:val="endnote text"/>
    <w:basedOn w:val="753"/>
    <w:link w:val="1009"/>
    <w:uiPriority w:val="99"/>
    <w:semiHidden/>
    <w:unhideWhenUsed/>
    <w:pPr>
      <w:spacing w:after="0" w:line="240" w:lineRule="auto"/>
    </w:pPr>
    <w:rPr>
      <w:sz w:val="20"/>
    </w:rPr>
  </w:style>
  <w:style w:type="character" w:styleId="1009" w:customStyle="1">
    <w:name w:val="Текст концевой сноски Знак"/>
    <w:link w:val="1008"/>
    <w:uiPriority w:val="99"/>
    <w:rPr>
      <w:sz w:val="20"/>
    </w:rPr>
  </w:style>
  <w:style w:type="character" w:styleId="1010">
    <w:name w:val="endnote reference"/>
    <w:basedOn w:val="763"/>
    <w:uiPriority w:val="99"/>
    <w:semiHidden/>
    <w:unhideWhenUsed/>
    <w:rPr>
      <w:vertAlign w:val="superscript"/>
    </w:rPr>
  </w:style>
  <w:style w:type="paragraph" w:styleId="1011">
    <w:name w:val="toc 1"/>
    <w:basedOn w:val="753"/>
    <w:next w:val="753"/>
    <w:uiPriority w:val="39"/>
    <w:unhideWhenUsed/>
    <w:pPr>
      <w:spacing w:after="57"/>
    </w:pPr>
  </w:style>
  <w:style w:type="paragraph" w:styleId="1012">
    <w:name w:val="toc 2"/>
    <w:basedOn w:val="753"/>
    <w:next w:val="753"/>
    <w:uiPriority w:val="39"/>
    <w:unhideWhenUsed/>
    <w:pPr>
      <w:ind w:left="283"/>
      <w:spacing w:after="57"/>
    </w:pPr>
  </w:style>
  <w:style w:type="paragraph" w:styleId="1013">
    <w:name w:val="toc 3"/>
    <w:basedOn w:val="753"/>
    <w:next w:val="753"/>
    <w:uiPriority w:val="39"/>
    <w:unhideWhenUsed/>
    <w:pPr>
      <w:ind w:left="567"/>
      <w:spacing w:after="57"/>
    </w:pPr>
  </w:style>
  <w:style w:type="paragraph" w:styleId="1014">
    <w:name w:val="toc 4"/>
    <w:basedOn w:val="753"/>
    <w:next w:val="753"/>
    <w:uiPriority w:val="39"/>
    <w:unhideWhenUsed/>
    <w:pPr>
      <w:ind w:left="850"/>
      <w:spacing w:after="57"/>
    </w:pPr>
  </w:style>
  <w:style w:type="paragraph" w:styleId="1015">
    <w:name w:val="toc 5"/>
    <w:basedOn w:val="753"/>
    <w:next w:val="753"/>
    <w:uiPriority w:val="39"/>
    <w:unhideWhenUsed/>
    <w:pPr>
      <w:ind w:left="1134"/>
      <w:spacing w:after="57"/>
    </w:pPr>
  </w:style>
  <w:style w:type="paragraph" w:styleId="1016">
    <w:name w:val="toc 6"/>
    <w:basedOn w:val="753"/>
    <w:next w:val="753"/>
    <w:uiPriority w:val="39"/>
    <w:unhideWhenUsed/>
    <w:pPr>
      <w:ind w:left="1417"/>
      <w:spacing w:after="57"/>
    </w:pPr>
  </w:style>
  <w:style w:type="paragraph" w:styleId="1017">
    <w:name w:val="toc 7"/>
    <w:basedOn w:val="753"/>
    <w:next w:val="753"/>
    <w:uiPriority w:val="39"/>
    <w:unhideWhenUsed/>
    <w:pPr>
      <w:ind w:left="1701"/>
      <w:spacing w:after="57"/>
    </w:pPr>
  </w:style>
  <w:style w:type="paragraph" w:styleId="1018">
    <w:name w:val="toc 8"/>
    <w:basedOn w:val="753"/>
    <w:next w:val="753"/>
    <w:uiPriority w:val="39"/>
    <w:unhideWhenUsed/>
    <w:pPr>
      <w:ind w:left="1984"/>
      <w:spacing w:after="57"/>
    </w:pPr>
  </w:style>
  <w:style w:type="paragraph" w:styleId="1019">
    <w:name w:val="toc 9"/>
    <w:basedOn w:val="753"/>
    <w:next w:val="753"/>
    <w:uiPriority w:val="39"/>
    <w:unhideWhenUsed/>
    <w:pPr>
      <w:ind w:left="2268"/>
      <w:spacing w:after="57"/>
    </w:pPr>
  </w:style>
  <w:style w:type="paragraph" w:styleId="1020">
    <w:name w:val="TOC Heading"/>
    <w:uiPriority w:val="39"/>
    <w:unhideWhenUsed/>
  </w:style>
  <w:style w:type="paragraph" w:styleId="1021">
    <w:name w:val="table of figures"/>
    <w:basedOn w:val="753"/>
    <w:next w:val="753"/>
    <w:uiPriority w:val="99"/>
    <w:unhideWhenUsed/>
    <w:pPr>
      <w:spacing w:after="0"/>
    </w:pPr>
  </w:style>
  <w:style w:type="paragraph" w:styleId="1022">
    <w:name w:val="List Paragraph"/>
    <w:basedOn w:val="753"/>
    <w:uiPriority w:val="34"/>
    <w:qFormat/>
    <w:pPr>
      <w:contextualSpacing/>
      <w:ind w:left="720"/>
    </w:pPr>
  </w:style>
  <w:style w:type="paragraph" w:styleId="1023" w:customStyle="1">
    <w:name w:val="ConsPlusNormal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1024" w:customStyle="1">
    <w:name w:val="ConsPlusTitle"/>
    <w:uiPriority w:val="99"/>
    <w:pPr>
      <w:spacing w:after="0" w:line="240" w:lineRule="auto"/>
      <w:widowControl w:val="off"/>
    </w:pPr>
    <w:rPr>
      <w:rFonts w:ascii="Arial" w:hAnsi="Arial" w:cs="Arial" w:eastAsiaTheme="minorEastAsia"/>
      <w:b/>
      <w:bCs/>
      <w:sz w:val="24"/>
      <w:szCs w:val="24"/>
      <w:lang w:eastAsia="ru-RU"/>
    </w:rPr>
  </w:style>
  <w:style w:type="paragraph" w:styleId="1025">
    <w:name w:val="Header"/>
    <w:basedOn w:val="753"/>
    <w:link w:val="102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26" w:customStyle="1">
    <w:name w:val="Верхний колонтитул Знак"/>
    <w:basedOn w:val="763"/>
    <w:link w:val="1025"/>
    <w:uiPriority w:val="99"/>
  </w:style>
  <w:style w:type="paragraph" w:styleId="1027">
    <w:name w:val="Footer"/>
    <w:basedOn w:val="753"/>
    <w:link w:val="102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28" w:customStyle="1">
    <w:name w:val="Нижний колонтитул Знак"/>
    <w:basedOn w:val="763"/>
    <w:link w:val="1027"/>
    <w:uiPriority w:val="99"/>
  </w:style>
  <w:style w:type="character" w:styleId="1029">
    <w:name w:val="annotation reference"/>
    <w:basedOn w:val="763"/>
    <w:uiPriority w:val="99"/>
    <w:semiHidden/>
    <w:unhideWhenUsed/>
    <w:rPr>
      <w:sz w:val="16"/>
      <w:szCs w:val="16"/>
    </w:rPr>
  </w:style>
  <w:style w:type="paragraph" w:styleId="1030">
    <w:name w:val="annotation text"/>
    <w:basedOn w:val="753"/>
    <w:link w:val="1031"/>
    <w:uiPriority w:val="99"/>
    <w:unhideWhenUsed/>
    <w:pPr>
      <w:spacing w:line="240" w:lineRule="auto"/>
    </w:pPr>
    <w:rPr>
      <w:sz w:val="20"/>
      <w:szCs w:val="20"/>
    </w:rPr>
  </w:style>
  <w:style w:type="character" w:styleId="1031" w:customStyle="1">
    <w:name w:val="Текст примечания Знак"/>
    <w:basedOn w:val="763"/>
    <w:link w:val="1030"/>
    <w:uiPriority w:val="99"/>
    <w:rPr>
      <w:sz w:val="20"/>
      <w:szCs w:val="20"/>
    </w:rPr>
  </w:style>
  <w:style w:type="paragraph" w:styleId="1032">
    <w:name w:val="annotation subject"/>
    <w:basedOn w:val="1030"/>
    <w:next w:val="1030"/>
    <w:link w:val="1033"/>
    <w:uiPriority w:val="99"/>
    <w:semiHidden/>
    <w:unhideWhenUsed/>
    <w:rPr>
      <w:b/>
      <w:bCs/>
    </w:rPr>
  </w:style>
  <w:style w:type="character" w:styleId="1033" w:customStyle="1">
    <w:name w:val="Тема примечания Знак"/>
    <w:basedOn w:val="1031"/>
    <w:link w:val="1032"/>
    <w:uiPriority w:val="99"/>
    <w:semiHidden/>
    <w:rPr>
      <w:b/>
      <w:bCs/>
      <w:sz w:val="20"/>
      <w:szCs w:val="20"/>
    </w:rPr>
  </w:style>
  <w:style w:type="table" w:styleId="1034">
    <w:name w:val="Table Grid"/>
    <w:basedOn w:val="764"/>
    <w:uiPriority w:val="59"/>
    <w:pPr>
      <w:spacing w:after="0" w:line="240" w:lineRule="auto"/>
    </w:pPr>
    <w:rPr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35">
    <w:name w:val="Hyperlink"/>
    <w:basedOn w:val="763"/>
    <w:uiPriority w:val="99"/>
    <w:unhideWhenUsed/>
    <w:rPr>
      <w:color w:val="0563c1" w:themeColor="hyperlink"/>
      <w:u w:val="single"/>
    </w:rPr>
  </w:style>
  <w:style w:type="character" w:styleId="1036" w:customStyle="1">
    <w:name w:val="Неразрешенное упоминание1"/>
    <w:basedOn w:val="763"/>
    <w:uiPriority w:val="99"/>
    <w:semiHidden/>
    <w:unhideWhenUsed/>
    <w:rPr>
      <w:color w:val="605e5c"/>
      <w:shd w:val="clear" w:color="auto" w:fill="e1dfdd"/>
    </w:rPr>
  </w:style>
  <w:style w:type="paragraph" w:styleId="1037">
    <w:name w:val="Balloon Text"/>
    <w:basedOn w:val="753"/>
    <w:link w:val="103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038" w:customStyle="1">
    <w:name w:val="Текст выноски Знак"/>
    <w:basedOn w:val="763"/>
    <w:link w:val="1037"/>
    <w:uiPriority w:val="99"/>
    <w:semiHidden/>
    <w:rPr>
      <w:rFonts w:ascii="Tahoma" w:hAnsi="Tahoma" w:cs="Tahoma"/>
      <w:sz w:val="16"/>
      <w:szCs w:val="16"/>
    </w:rPr>
  </w:style>
  <w:style w:type="paragraph" w:styleId="1039">
    <w:name w:val="Revision"/>
    <w:hidden/>
    <w:uiPriority w:val="99"/>
    <w:semiHidden/>
    <w:pPr>
      <w:spacing w:after="0" w:line="240" w:lineRule="auto"/>
    </w:pPr>
  </w:style>
  <w:style w:type="character" w:styleId="1040" w:customStyle="1">
    <w:name w:val="Неразрешенное упоминание2"/>
    <w:basedOn w:val="763"/>
    <w:uiPriority w:val="99"/>
    <w:semiHidden/>
    <w:unhideWhenUsed/>
    <w:rPr>
      <w:color w:val="605e5c"/>
      <w:shd w:val="clear" w:color="auto" w:fill="e1dfdd"/>
    </w:rPr>
  </w:style>
  <w:style w:type="character" w:styleId="1041">
    <w:name w:val="FollowedHyperlink"/>
    <w:basedOn w:val="763"/>
    <w:uiPriority w:val="99"/>
    <w:semiHidden/>
    <w:unhideWhenUsed/>
    <w:rPr>
      <w:color w:val="954f72" w:themeColor="followedHyperlink"/>
      <w:u w:val="single"/>
    </w:rPr>
  </w:style>
  <w:style w:type="paragraph" w:styleId="1042">
    <w:name w:val="Normal (Web)"/>
    <w:basedOn w:val="753"/>
    <w:uiPriority w:val="99"/>
    <w:semiHidden/>
    <w:unhideWhenUs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hyperlink" Target="https://invest19.ru/ru/investoru/soprovozhdenie-investproekta/" TargetMode="External"/><Relationship Id="rId14" Type="http://schemas.openxmlformats.org/officeDocument/2006/relationships/hyperlink" Target="consultantplus://offline/ref=E693B08DA172D4D5A9FC33C9B344163BE2713E1B9976B39960CB765DF8BC249B6082093A48235B3E9B73B4F722s6V5K" TargetMode="External"/><Relationship Id="rId15" Type="http://schemas.openxmlformats.org/officeDocument/2006/relationships/hyperlink" Target="consultantplus://offline/ref=E693B08DA172D4D5A9FC33C9B344163BE2713E1B9976B39960CB765DF8BC249B6082093A48235B3E9B73B4F722s6V5K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CEF79-E7E2-493B-B104-CB5D6D658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SCX SCX</dc:creator>
  <cp:lastModifiedBy>user</cp:lastModifiedBy>
  <cp:revision>14</cp:revision>
  <dcterms:created xsi:type="dcterms:W3CDTF">2026-10-23T03:47:00Z</dcterms:created>
  <dcterms:modified xsi:type="dcterms:W3CDTF">2026-10-23T08:27:00Z</dcterms:modified>
</cp:coreProperties>
</file>